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line="384" w:lineRule="auto"/>
        <w:jc w:val="both"/>
      </w:pPr>
      <w:r>
        <w:rPr>
          <w:rFonts w:ascii="Calibri Light" w:cs="Calibri Light" w:eastAsia="Calibri Light" w:hAnsi="Calibri Light"/>
          <w:b w:val="false"/>
          <w:bCs w:val="false"/>
          <w:i w:val="false"/>
          <w:iCs w:val="false"/>
          <w:strike w:val="false"/>
          <w:color w:val="2B5797"/>
          <w:spacing w:val="15"/>
          <w:sz w:val="26"/>
          <w:szCs w:val="26"/>
        </w:rPr>
        <w:t xml:space="preserve">THE COMPREHENSION CONSTRAINT</w:t>
      </w:r>
    </w:p>
    <w:p>
      <w:pPr>
        <w:spacing w:after="640" w:before="60" w:line="384" w:lineRule="auto"/>
        <w:jc w:val="both"/>
      </w:pPr>
      <w:r>
        <w:rPr>
          <w:rFonts w:ascii="Calibri" w:cs="Calibri" w:eastAsia="Calibri" w:hAnsi="Calibri"/>
          <w:b w:val="false"/>
          <w:bCs w:val="false"/>
          <w:i/>
          <w:iCs/>
          <w:strike w:val="false"/>
          <w:color w:val="555555"/>
          <w:sz w:val="20"/>
          <w:szCs w:val="20"/>
        </w:rPr>
        <w:t xml:space="preserve">A Series on Organizational Cognition in the Age of AI</w:t>
      </w:r>
    </w:p>
    <w:p>
      <w:pPr>
        <w:spacing w:after="320" w:before="60" w:line="384" w:lineRule="auto"/>
        <w:jc w:val="both"/>
      </w:pPr>
      <w:r>
        <w:rPr>
          <w:rFonts w:ascii="Calibri Light" w:cs="Calibri Light" w:eastAsia="Calibri Light" w:hAnsi="Calibri Light"/>
          <w:b w:val="false"/>
          <w:bCs w:val="false"/>
          <w:i w:val="false"/>
          <w:iCs w:val="false"/>
          <w:strike w:val="false"/>
          <w:color w:val="888888"/>
          <w:spacing w:val="30"/>
          <w:sz w:val="20"/>
          <w:szCs w:val="20"/>
        </w:rPr>
        <w:t xml:space="preserve">PART 4 OF 6</w:t>
      </w:r>
    </w:p>
    <w:p>
      <w:pPr>
        <w:pBdr>
          <w:bottom w:val="single" w:color="000000" w:sz="6"/>
        </w:pBdr>
        <w:spacing w:after="240" w:before="240"/>
      </w:pPr>
    </w:p>
    <w:p>
      <w:pPr>
        <w:spacing w:after="640" w:before="60" w:line="288" w:lineRule="auto"/>
        <w:jc w:val="both"/>
      </w:pPr>
      <w:r>
        <w:rPr>
          <w:rFonts w:ascii="Calibri" w:cs="Calibri" w:eastAsia="Calibri" w:hAnsi="Calibri"/>
          <w:b/>
          <w:bCs/>
          <w:i w:val="false"/>
          <w:iCs w:val="false"/>
          <w:strike w:val="false"/>
          <w:color w:val="1A1A1A"/>
          <w:sz w:val="68"/>
          <w:szCs w:val="68"/>
        </w:rPr>
        <w:t xml:space="preserve">The Comprehension Stack</w:t>
      </w:r>
    </w:p>
    <w:p>
      <w:pPr>
        <w:spacing w:after="80" w:before="60" w:line="384" w:lineRule="auto"/>
        <w:jc w:val="both"/>
      </w:pPr>
      <w:r>
        <w:rPr>
          <w:rFonts w:ascii="Calibri" w:cs="Calibri" w:eastAsia="Calibri" w:hAnsi="Calibri"/>
          <w:b/>
          <w:bCs/>
          <w:i w:val="false"/>
          <w:iCs w:val="false"/>
          <w:strike w:val="false"/>
          <w:color w:val="1A1A1A"/>
          <w:sz w:val="24"/>
          <w:szCs w:val="24"/>
        </w:rPr>
        <w:t xml:space="preserve">Peter Brauer</w:t>
      </w:r>
    </w:p>
    <w:p>
      <w:pPr>
        <w:spacing w:after="60" w:before="60" w:line="384" w:lineRule="auto"/>
        <w:jc w:val="both"/>
      </w:pPr>
      <w:r>
        <w:rPr>
          <w:rFonts w:ascii="Calibri" w:cs="Calibri" w:eastAsia="Calibri" w:hAnsi="Calibri"/>
          <w:b w:val="false"/>
          <w:bCs w:val="false"/>
          <w:i w:val="false"/>
          <w:iCs w:val="false"/>
          <w:strike w:val="false"/>
          <w:color w:val="777777"/>
          <w:sz w:val="20"/>
          <w:szCs w:val="20"/>
        </w:rPr>
        <w:t xml:space="preserve">June 2026</w:t>
      </w:r>
    </w:p>
    <w:p>
      <w:pPr>
        <w:pBdr>
          <w:bottom w:val="single" w:color="2B5797"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B5797" w:sz="6"/>
              <w:left w:val="single" w:color="2B5797" w:sz="6"/>
              <w:bottom w:val="single" w:color="2B5797" w:sz="6"/>
              <w:right w:val="single" w:color="2B5797" w:sz="6"/>
            </w:tcBorders>
            <w:shd w:fill="EDF2F9" w:color="auto" w:val="clear"/>
            <w:tcMar>
              <w:top w:type="dxa" w:w="210"/>
              <w:left w:type="dxa" w:w="270"/>
              <w:bottom w:type="dxa" w:w="210"/>
              <w:right w:type="dxa" w:w="270"/>
            </w:tcMar>
          </w:tcPr>
          <w:p>
            <w:pPr>
              <w:spacing w:after="120" w:line="408" w:lineRule="auto"/>
            </w:pPr>
            <w:r>
              <w:rPr>
                <w:b/>
                <w:bCs/>
                <w:i w:val="false"/>
                <w:iCs w:val="false"/>
                <w:color w:val="2B5797"/>
              </w:rPr>
              <w:t xml:space="preserve">Series Note</w:t>
            </w:r>
          </w:p>
          <w:p>
            <w:pPr>
              <w:spacing w:after="120" w:line="360" w:lineRule="auto"/>
              <w:jc w:val="both"/>
            </w:pPr>
            <w:r>
              <w:rPr>
                <w:rFonts w:ascii="Calibri" w:cs="Calibri" w:eastAsia="Calibri" w:hAnsi="Calibri"/>
                <w:b w:val="false"/>
                <w:bCs w:val="false"/>
                <w:i w:val="false"/>
                <w:iCs w:val="false"/>
                <w:strike w:val="false"/>
                <w:color w:val="1A1A1A"/>
                <w:sz w:val="20"/>
                <w:szCs w:val="20"/>
              </w:rPr>
              <w:t xml:space="preserve">This is Part 4 of 6 in </w:t>
            </w:r>
            <w:r>
              <w:rPr>
                <w:rFonts w:ascii="Calibri" w:cs="Calibri" w:eastAsia="Calibri" w:hAnsi="Calibri"/>
                <w:b/>
                <w:bCs/>
                <w:i w:val="false"/>
                <w:iCs w:val="false"/>
                <w:strike w:val="false"/>
                <w:color w:val="000000"/>
                <w:sz w:val="22"/>
                <w:szCs w:val="22"/>
              </w:rPr>
              <w:t xml:space="preserve">The Comprehension Constraint: A Series on Organizational Cognition in the Age of AI</w:t>
            </w:r>
            <w:r>
              <w:rPr>
                <w:rFonts w:ascii="Calibri" w:cs="Calibri" w:eastAsia="Calibri" w:hAnsi="Calibri"/>
                <w:b w:val="false"/>
                <w:bCs w:val="false"/>
                <w:i w:val="false"/>
                <w:iCs w:val="false"/>
                <w:strike w:val="false"/>
                <w:color w:val="1A1A1A"/>
                <w:sz w:val="20"/>
                <w:szCs w:val="20"/>
              </w:rPr>
              <w:t xml:space="preserve">. All six parts are published simultaneously.</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1 — Why Organizations Can't Think</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2 — The Comprehension Constraint</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3 — The Organizational Cognition Law</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4 — The Comprehension Stack</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5 — Making Sense Together</w:t>
            </w:r>
          </w:p>
          <w:p>
            <w:pPr>
              <w:spacing w:after="100" w:line="408" w:lineRule="auto"/>
              <w:ind w:left="240"/>
            </w:pPr>
            <w:r>
              <w:t xml:space="preserve">•  </w:t>
            </w:r>
            <w:r>
              <w:rPr>
                <w:rFonts w:ascii="Calibri" w:cs="Calibri" w:eastAsia="Calibri" w:hAnsi="Calibri"/>
                <w:b w:val="false"/>
                <w:bCs w:val="false"/>
                <w:i w:val="false"/>
                <w:iCs w:val="false"/>
                <w:strike w:val="false"/>
                <w:color w:val="1A1A1A"/>
                <w:sz w:val="20"/>
                <w:szCs w:val="20"/>
              </w:rPr>
              <w:t xml:space="preserve">Part 6 — When Decisions Go Wrong — and What to Do About It</w:t>
            </w:r>
          </w:p>
        </w:tc>
      </w:tr>
    </w:tbl>
    <w:p>
      <w:pPr>
        <w:spacing w:after="240" w:before="0"/>
      </w:pPr>
    </w:p>
    <w:p>
      <w:pPr>
        <w:pStyle w:val="Heading1"/>
        <w:spacing w:after="100" w:before="640" w:line="312" w:lineRule="auto"/>
      </w:pPr>
      <w:r>
        <w:rPr>
          <w:rFonts w:ascii="Calibri" w:cs="Calibri" w:eastAsia="Calibri" w:hAnsi="Calibri"/>
          <w:color w:val="1A1A1A"/>
          <w:sz w:val="40"/>
          <w:szCs w:val="40"/>
        </w:rPr>
        <w:t xml:space="preserve">3.1 — Architecture of the Stack</w:t>
      </w:r>
    </w:p>
    <w:p>
      <w:pPr>
        <w:pBdr>
          <w:top w:val="single" w:color="C0C0C0"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Comprehension Stack is a layered model of the cognitive infrastructure an organization uses to process complexity. It translates the abstract concept of comprehension capacity into a concrete architectural description — a map of the five distinct layers through which raw environmental signals are converted into committed organizational action. Each layer has a specific function, characteristic inputs and outputs, associated failure modes, and a distinct relationship to AI. Understanding the Stack as an architecture — rather than as a process or a sequence — is important: the layers interact continuously, and failure at any layer affects the performance of every layer above it.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The five layers, from foundation to apex, are as follows:</w:t>
      </w:r>
    </w:p>
    <w:p>
      <w:pPr>
        <w:spacing w:after="80" w:before="60" w:line="384" w:lineRule="auto"/>
        <w:jc w:val="both"/>
      </w:pPr>
      <w:r>
        <w:rPr>
          <w:rFonts w:ascii="Calibri" w:cs="Calibri" w:eastAsia="Calibri" w:hAnsi="Calibri"/>
          <w:b/>
          <w:bCs/>
          <w:i w:val="false"/>
          <w:iCs w:val="false"/>
          <w:strike w:val="false"/>
          <w:color w:val="2B5797"/>
          <w:sz w:val="22"/>
          <w:szCs w:val="22"/>
        </w:rPr>
        <w:t xml:space="preserve">Layer 1 — The Signal Layer</w:t>
      </w:r>
    </w:p>
    <w:p>
      <w:pPr>
        <w:spacing w:after="60" w:before="60" w:line="384" w:lineRule="auto"/>
        <w:jc w:val="both"/>
      </w:pPr>
      <w:r>
        <w:rPr>
          <w:rFonts w:ascii="Calibri" w:cs="Calibri" w:eastAsia="Calibri" w:hAnsi="Calibri"/>
          <w:b w:val="false"/>
          <w:bCs w:val="false"/>
          <w:i w:val="false"/>
          <w:iCs w:val="false"/>
          <w:strike w:val="false"/>
          <w:color w:val="000000"/>
          <w:sz w:val="22"/>
          <w:szCs w:val="22"/>
        </w:rPr>
        <w:t xml:space="preserve">is the foundation of the Stack: the raw inputs that constitute the organization's contact with its environment. These include quantitative data (operational metrics, financial indicators, market prices, sensor outputs), qualitative signals (customer feedback, employee sentiment, competitive intelligence, regulatory communications), and environmental signals (macroeconomic trends, technological developments, geopolitical shifts). Most organizations operating in the contemporary data environment have excess at this layer. The challenge is not generating signals; it is ensuring that the signals generated are relevant, timely, and accessible to the layers above. Signal Layer abundance without effective filtration and interpretation is the precise condition that produces the "data rich, insight poor" paradox.</w:t>
      </w:r>
    </w:p>
    <w:p>
      <w:pPr>
        <w:pBdr>
          <w:bottom w:val="single" w:color="DCE6F1" w:sz="6"/>
        </w:pBdr>
        <w:spacing w:after="240" w:before="240"/>
      </w:pPr>
    </w:p>
    <w:p>
      <w:pPr>
        <w:spacing w:after="80" w:before="60" w:line="384" w:lineRule="auto"/>
        <w:jc w:val="both"/>
      </w:pPr>
      <w:r>
        <w:rPr>
          <w:rFonts w:ascii="Calibri" w:cs="Calibri" w:eastAsia="Calibri" w:hAnsi="Calibri"/>
          <w:b/>
          <w:bCs/>
          <w:i w:val="false"/>
          <w:iCs w:val="false"/>
          <w:strike w:val="false"/>
          <w:color w:val="2B5797"/>
          <w:sz w:val="22"/>
          <w:szCs w:val="22"/>
        </w:rPr>
        <w:t xml:space="preserve">Layer 2 — The Filtration Layer</w:t>
      </w:r>
    </w:p>
    <w:p>
      <w:pPr>
        <w:spacing w:after="60" w:before="60" w:line="384" w:lineRule="auto"/>
        <w:jc w:val="both"/>
      </w:pPr>
      <w:r>
        <w:rPr>
          <w:rFonts w:ascii="Calibri" w:cs="Calibri" w:eastAsia="Calibri" w:hAnsi="Calibri"/>
          <w:b w:val="false"/>
          <w:bCs w:val="false"/>
          <w:i w:val="false"/>
          <w:iCs w:val="false"/>
          <w:strike w:val="false"/>
          <w:color w:val="000000"/>
          <w:sz w:val="22"/>
          <w:szCs w:val="22"/>
        </w:rPr>
        <w:t xml:space="preserve">is where the organization selects, prioritizes, and routes signals to relevant decision-makers. Filtration is not merely a technical function; it is also a cognitive and political one. Every filtration mechanism embeds a theory of relevance — an implicit judgment about which signals matter and which can safely be ignored. When these theories are well-calibrated, the Filtration Layer reduces noise and amplifies signal. When they are miscalibrated — through technological inadequacy, organizational politics, or outdated mental models — the Filtration Layer becomes one of the most consequential failure points in the Stack.</w:t>
      </w:r>
    </w:p>
    <w:p>
      <w:pPr>
        <w:pBdr>
          <w:bottom w:val="single" w:color="DCE6F1" w:sz="6"/>
        </w:pBdr>
        <w:spacing w:after="240" w:before="240"/>
      </w:pPr>
    </w:p>
    <w:p>
      <w:pPr>
        <w:spacing w:after="80" w:before="60" w:line="384" w:lineRule="auto"/>
        <w:jc w:val="both"/>
      </w:pPr>
      <w:r>
        <w:rPr>
          <w:rFonts w:ascii="Calibri" w:cs="Calibri" w:eastAsia="Calibri" w:hAnsi="Calibri"/>
          <w:b/>
          <w:bCs/>
          <w:i w:val="false"/>
          <w:iCs w:val="false"/>
          <w:strike w:val="false"/>
          <w:color w:val="2B5797"/>
          <w:sz w:val="22"/>
          <w:szCs w:val="22"/>
        </w:rPr>
        <w:t xml:space="preserve">Layer 3 — The Interpretation Layer</w:t>
      </w:r>
    </w:p>
    <w:p>
      <w:pPr>
        <w:spacing w:after="60" w:before="60" w:line="384" w:lineRule="auto"/>
        <w:jc w:val="both"/>
      </w:pPr>
      <w:r>
        <w:rPr>
          <w:rFonts w:ascii="Calibri" w:cs="Calibri" w:eastAsia="Calibri" w:hAnsi="Calibri"/>
          <w:b w:val="false"/>
          <w:bCs w:val="false"/>
          <w:i w:val="false"/>
          <w:iCs w:val="false"/>
          <w:strike w:val="false"/>
          <w:color w:val="000000"/>
          <w:sz w:val="22"/>
          <w:szCs w:val="22"/>
        </w:rPr>
        <w:t xml:space="preserve">is where filtered signals are converted into meaning. This is the layer at which mental models, interpretive frameworks, and shared organizational language do their essential work. The same signal — a decline in customer renewal rates, for example — may be interpreted as a product quality problem, a pricing problem, a competitive threat, a service delivery failure, or a leading indicator of broader market shift, depending on the interpretive framework applied. The Interpretation Layer is where organizational culture and cognition intersect most powerfully. Cultures that value interpretive diversity, intellectual challenge, and honest assessment of disconfirming evidence produce richer and more accurate interpretations. Cultures that reward conformity, punish dissent, and filter information upward through layers of political mediation produce systematically distorted interpretations — and, accordingly, systematically poor decisions.</w:t>
      </w:r>
    </w:p>
    <w:p>
      <w:pPr>
        <w:pBdr>
          <w:bottom w:val="single" w:color="DCE6F1" w:sz="6"/>
        </w:pBdr>
        <w:spacing w:after="240" w:before="240"/>
      </w:pPr>
    </w:p>
    <w:p>
      <w:pPr>
        <w:spacing w:after="80" w:before="60" w:line="384" w:lineRule="auto"/>
        <w:jc w:val="both"/>
      </w:pPr>
      <w:r>
        <w:rPr>
          <w:rFonts w:ascii="Calibri" w:cs="Calibri" w:eastAsia="Calibri" w:hAnsi="Calibri"/>
          <w:b/>
          <w:bCs/>
          <w:i w:val="false"/>
          <w:iCs w:val="false"/>
          <w:strike w:val="false"/>
          <w:color w:val="2B5797"/>
          <w:sz w:val="22"/>
          <w:szCs w:val="22"/>
        </w:rPr>
        <w:t xml:space="preserve">Layer 4 — The Integration Layer</w:t>
      </w:r>
    </w:p>
    <w:p>
      <w:pPr>
        <w:spacing w:after="60" w:before="60" w:line="384" w:lineRule="auto"/>
        <w:jc w:val="both"/>
      </w:pPr>
      <w:r>
        <w:rPr>
          <w:rFonts w:ascii="Calibri" w:cs="Calibri" w:eastAsia="Calibri" w:hAnsi="Calibri"/>
          <w:b w:val="false"/>
          <w:bCs w:val="false"/>
          <w:i w:val="false"/>
          <w:iCs w:val="false"/>
          <w:strike w:val="false"/>
          <w:color w:val="000000"/>
          <w:sz w:val="22"/>
          <w:szCs w:val="22"/>
        </w:rPr>
        <w:t xml:space="preserve">is the rarest and most valuable layer in the Stack. Integration is the capacity to synthesize interpreted signals across silos, time horizons, and functional domains into a coherent organizational understanding — a shared view of what is happening that is sufficiently integrated to ground coordinated action. In most organizations, functional domains develop their own rich interpretations of their respective environments while remaining largely isolated from one another. The supply chain team understands the logistics landscape with considerable sophistication; the finance team understands the capital environment with comparable depth; the commercial team understands customer dynamics with nuance. None of these understandings, in isolation, constitutes organizational intelligence. Integration is what transforms distributed domain expertise into a genuinely organizational view.</w:t>
      </w:r>
    </w:p>
    <w:p>
      <w:pPr>
        <w:pBdr>
          <w:bottom w:val="single" w:color="DCE6F1" w:sz="6"/>
        </w:pBdr>
        <w:spacing w:after="240" w:before="240"/>
      </w:pPr>
    </w:p>
    <w:p>
      <w:pPr>
        <w:spacing w:after="80" w:before="60" w:line="384" w:lineRule="auto"/>
        <w:jc w:val="both"/>
      </w:pPr>
      <w:r>
        <w:rPr>
          <w:rFonts w:ascii="Calibri" w:cs="Calibri" w:eastAsia="Calibri" w:hAnsi="Calibri"/>
          <w:b/>
          <w:bCs/>
          <w:i w:val="false"/>
          <w:iCs w:val="false"/>
          <w:strike w:val="false"/>
          <w:color w:val="2B5797"/>
          <w:sz w:val="22"/>
          <w:szCs w:val="22"/>
        </w:rPr>
        <w:t xml:space="preserve">Layer 5 — The Action Layer</w:t>
      </w:r>
    </w:p>
    <w:p>
      <w:pPr>
        <w:spacing w:after="60" w:before="60" w:line="384" w:lineRule="auto"/>
        <w:jc w:val="both"/>
      </w:pPr>
      <w:r>
        <w:rPr>
          <w:rFonts w:ascii="Calibri" w:cs="Calibri" w:eastAsia="Calibri" w:hAnsi="Calibri"/>
          <w:b w:val="false"/>
          <w:bCs w:val="false"/>
          <w:i w:val="false"/>
          <w:iCs w:val="false"/>
          <w:strike w:val="false"/>
          <w:color w:val="000000"/>
          <w:sz w:val="22"/>
          <w:szCs w:val="22"/>
        </w:rPr>
        <w:t xml:space="preserve">is where the Stack's outputs become organizational consequences. Comprehension, however deep, is organizationally inert until it is translated into committed decisions, resource allocations, and behavioral changes that persist through execution. The Action Layer requires not only cognitive clarity — a sufficient understanding of what should be done — but also the structural and cultural conditions that allow that understanding to be translated into action: clear accountability, sufficient authority, aligned incentives, and execution capacity. Many organizations achieve genuine comprehension at the Integration Layer and then fail at the Action Layer, because the organizational conditions required to convert understanding into commitment are not present.</w:t>
      </w:r>
    </w:p>
    <w:p>
      <w:pPr>
        <w:pBdr>
          <w:bottom w:val="single" w:color="DCE6F1" w:sz="6"/>
        </w:pBdr>
        <w:spacing w:after="240" w:before="240"/>
      </w:pPr>
    </w:p>
    <w:p>
      <w:pPr>
        <w:pStyle w:val="Heading1"/>
        <w:spacing w:after="100" w:before="640" w:line="312" w:lineRule="auto"/>
      </w:pPr>
      <w:r>
        <w:rPr>
          <w:rFonts w:ascii="Calibri" w:cs="Calibri" w:eastAsia="Calibri" w:hAnsi="Calibri"/>
          <w:color w:val="1A1A1A"/>
          <w:sz w:val="40"/>
          <w:szCs w:val="40"/>
        </w:rPr>
        <w:t xml:space="preserve">3.2 — Stack Failure Modes</w:t>
      </w:r>
    </w:p>
    <w:p>
      <w:pPr>
        <w:pBdr>
          <w:top w:val="single" w:color="C0C0C0"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Each layer of the Comprehension Stack has characteristic failure modes — conditions under which the layer fails to perform its function and thereby degrades the performance of every layer above it.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1%"/>
            <w:shd w:fill="DCE6F1"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2"/>
                <w:szCs w:val="22"/>
              </w:rPr>
              <w:t xml:space="preserve">Stack Layer</w:t>
            </w:r>
          </w:p>
        </w:tc>
        <w:tc>
          <w:tcPr>
            <w:tcW w:type="pct" w:w="28%"/>
            <w:shd w:fill="DCE6F1"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2"/>
                <w:szCs w:val="22"/>
              </w:rPr>
              <w:t xml:space="preserve">Failure Mode 1</w:t>
            </w:r>
          </w:p>
        </w:tc>
        <w:tc>
          <w:tcPr>
            <w:tcW w:type="pct" w:w="32%"/>
            <w:shd w:fill="DCE6F1"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2"/>
                <w:szCs w:val="22"/>
              </w:rPr>
              <w:t xml:space="preserve">Failure Mode 2</w:t>
            </w:r>
          </w:p>
        </w:tc>
        <w:tc>
          <w:tcPr>
            <w:tcW w:type="pct" w:w="29%"/>
            <w:shd w:fill="DCE6F1" w:color="auto" w:val="clear"/>
            <w:tcMar>
              <w:top w:type="dxa" w:w="105"/>
              <w:left w:type="dxa" w:w="135"/>
              <w:bottom w:type="dxa" w:w="105"/>
              <w:right w:type="dxa" w:w="135"/>
            </w:tcMar>
          </w:tcPr>
          <w:p>
            <w:r>
              <w:rPr>
                <w:rFonts w:ascii="Calibri" w:cs="Calibri" w:eastAsia="Calibri" w:hAnsi="Calibri"/>
                <w:b/>
                <w:bCs/>
                <w:i w:val="false"/>
                <w:iCs w:val="false"/>
                <w:strike w:val="false"/>
                <w:color w:val="1A1A1A"/>
                <w:sz w:val="22"/>
                <w:szCs w:val="22"/>
              </w:rPr>
              <w:t xml:space="preserve">Organizational Consequence</w:t>
            </w:r>
          </w:p>
        </w:tc>
      </w:tr>
      <w:tr>
        <w:trPr>
          <w:tblHeader w:val="false"/>
        </w:trPr>
        <w:tc>
          <w:tcPr>
            <w:tcW w:type="pct" w:w="11%"/>
            <w:tcMar>
              <w:top w:type="dxa" w:w="105"/>
              <w:left w:type="dxa" w:w="135"/>
              <w:bottom w:type="dxa" w:w="105"/>
              <w:right w:type="dxa" w:w="135"/>
            </w:tcMar>
          </w:tcPr>
          <w:p>
            <w:r>
              <w:rPr>
                <w:rFonts w:ascii="Calibri" w:cs="Calibri" w:eastAsia="Calibri" w:hAnsi="Calibri"/>
                <w:b/>
                <w:bCs/>
                <w:i w:val="false"/>
                <w:iCs w:val="false"/>
                <w:strike w:val="false"/>
                <w:color w:val="2B5797"/>
                <w:sz w:val="22"/>
                <w:szCs w:val="22"/>
              </w:rPr>
              <w:t xml:space="preserve">Signal Layer</w:t>
            </w:r>
          </w:p>
        </w:tc>
        <w:tc>
          <w:tcPr>
            <w:tcW w:type="pct" w:w="28%"/>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Sensor blindness</w:t>
            </w:r>
            <w:r>
              <w:rPr>
                <w:rFonts w:ascii="Calibri" w:cs="Calibri" w:eastAsia="Calibri" w:hAnsi="Calibri"/>
                <w:b w:val="false"/>
                <w:bCs w:val="false"/>
                <w:i w:val="false"/>
                <w:iCs w:val="false"/>
                <w:strike w:val="false"/>
                <w:color w:val="000000"/>
                <w:sz w:val="22"/>
                <w:szCs w:val="22"/>
              </w:rPr>
              <w:t xml:space="preserve"> — insufficient signal inputs; critical environmental domains go unmonitored.</w:t>
            </w:r>
          </w:p>
        </w:tc>
        <w:tc>
          <w:tcPr>
            <w:tcW w:type="pct" w:w="3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Sensor overload</w:t>
            </w:r>
            <w:r>
              <w:rPr>
                <w:rFonts w:ascii="Calibri" w:cs="Calibri" w:eastAsia="Calibri" w:hAnsi="Calibri"/>
                <w:b w:val="false"/>
                <w:bCs w:val="false"/>
                <w:i w:val="false"/>
                <w:iCs w:val="false"/>
                <w:strike w:val="false"/>
                <w:color w:val="000000"/>
                <w:sz w:val="22"/>
                <w:szCs w:val="22"/>
              </w:rPr>
              <w:t xml:space="preserve"> — too many undifferentiated inputs; signal quality diluted by volume.</w:t>
            </w:r>
          </w:p>
        </w:tc>
        <w:tc>
          <w:tcPr>
            <w:tcW w:type="pct" w:w="2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2"/>
                <w:szCs w:val="22"/>
              </w:rPr>
              <w:t xml:space="preserve">Organization operates on an incomplete or distorted picture of its environment; surprises accumulate.</w:t>
            </w:r>
          </w:p>
        </w:tc>
      </w:tr>
      <w:tr>
        <w:trPr>
          <w:tblHeader w:val="false"/>
        </w:trPr>
        <w:tc>
          <w:tcPr>
            <w:tcW w:type="pct" w:w="11%"/>
            <w:tcMar>
              <w:top w:type="dxa" w:w="105"/>
              <w:left w:type="dxa" w:w="135"/>
              <w:bottom w:type="dxa" w:w="105"/>
              <w:right w:type="dxa" w:w="135"/>
            </w:tcMar>
          </w:tcPr>
          <w:p>
            <w:r>
              <w:rPr>
                <w:rFonts w:ascii="Calibri" w:cs="Calibri" w:eastAsia="Calibri" w:hAnsi="Calibri"/>
                <w:b/>
                <w:bCs/>
                <w:i w:val="false"/>
                <w:iCs w:val="false"/>
                <w:strike w:val="false"/>
                <w:color w:val="2B5797"/>
                <w:sz w:val="22"/>
                <w:szCs w:val="22"/>
              </w:rPr>
              <w:t xml:space="preserve">Filtration Layer</w:t>
            </w:r>
          </w:p>
        </w:tc>
        <w:tc>
          <w:tcPr>
            <w:tcW w:type="pct" w:w="28%"/>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Filter capture</w:t>
            </w:r>
            <w:r>
              <w:rPr>
                <w:rFonts w:ascii="Calibri" w:cs="Calibri" w:eastAsia="Calibri" w:hAnsi="Calibri"/>
                <w:b w:val="false"/>
                <w:bCs w:val="false"/>
                <w:i w:val="false"/>
                <w:iCs w:val="false"/>
                <w:strike w:val="false"/>
                <w:color w:val="000000"/>
                <w:sz w:val="22"/>
                <w:szCs w:val="22"/>
              </w:rPr>
              <w:t xml:space="preserve"> — signals are routed or suppressed based on political rather than epistemic criteria.</w:t>
            </w:r>
          </w:p>
        </w:tc>
        <w:tc>
          <w:tcPr>
            <w:tcW w:type="pct" w:w="3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Filter failure</w:t>
            </w:r>
            <w:r>
              <w:rPr>
                <w:rFonts w:ascii="Calibri" w:cs="Calibri" w:eastAsia="Calibri" w:hAnsi="Calibri"/>
                <w:b w:val="false"/>
                <w:bCs w:val="false"/>
                <w:i w:val="false"/>
                <w:iCs w:val="false"/>
                <w:strike w:val="false"/>
                <w:color w:val="000000"/>
                <w:sz w:val="22"/>
                <w:szCs w:val="22"/>
              </w:rPr>
              <w:t xml:space="preserve"> — no effective prioritization; all signals treated as equally urgent or equally ignorable.</w:t>
            </w:r>
          </w:p>
        </w:tc>
        <w:tc>
          <w:tcPr>
            <w:tcW w:type="pct" w:w="2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2"/>
                <w:szCs w:val="22"/>
              </w:rPr>
              <w:t xml:space="preserve">Critical signals fail to reach relevant decision-makers; or decision-makers are overwhelmed by undifferentiated volume.</w:t>
            </w:r>
          </w:p>
        </w:tc>
      </w:tr>
      <w:tr>
        <w:trPr>
          <w:tblHeader w:val="false"/>
        </w:trPr>
        <w:tc>
          <w:tcPr>
            <w:tcW w:type="pct" w:w="11%"/>
            <w:tcMar>
              <w:top w:type="dxa" w:w="105"/>
              <w:left w:type="dxa" w:w="135"/>
              <w:bottom w:type="dxa" w:w="105"/>
              <w:right w:type="dxa" w:w="135"/>
            </w:tcMar>
          </w:tcPr>
          <w:p>
            <w:r>
              <w:rPr>
                <w:rFonts w:ascii="Calibri" w:cs="Calibri" w:eastAsia="Calibri" w:hAnsi="Calibri"/>
                <w:b/>
                <w:bCs/>
                <w:i w:val="false"/>
                <w:iCs w:val="false"/>
                <w:strike w:val="false"/>
                <w:color w:val="2B5797"/>
                <w:sz w:val="22"/>
                <w:szCs w:val="22"/>
              </w:rPr>
              <w:t xml:space="preserve">Interpretation Layer</w:t>
            </w:r>
          </w:p>
        </w:tc>
        <w:tc>
          <w:tcPr>
            <w:tcW w:type="pct" w:w="28%"/>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Model lock</w:t>
            </w:r>
            <w:r>
              <w:rPr>
                <w:rFonts w:ascii="Calibri" w:cs="Calibri" w:eastAsia="Calibri" w:hAnsi="Calibri"/>
                <w:b w:val="false"/>
                <w:bCs w:val="false"/>
                <w:i w:val="false"/>
                <w:iCs w:val="false"/>
                <w:strike w:val="false"/>
                <w:color w:val="000000"/>
                <w:sz w:val="22"/>
                <w:szCs w:val="22"/>
              </w:rPr>
              <w:t xml:space="preserve"> — outdated mental models applied to novel situations; pattern-matching to past produces misdiagnosis of present.</w:t>
            </w:r>
          </w:p>
        </w:tc>
        <w:tc>
          <w:tcPr>
            <w:tcW w:type="pct" w:w="3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Model fragmentation</w:t>
            </w:r>
            <w:r>
              <w:rPr>
                <w:rFonts w:ascii="Calibri" w:cs="Calibri" w:eastAsia="Calibri" w:hAnsi="Calibri"/>
                <w:b w:val="false"/>
                <w:bCs w:val="false"/>
                <w:i w:val="false"/>
                <w:iCs w:val="false"/>
                <w:strike w:val="false"/>
                <w:color w:val="000000"/>
                <w:sz w:val="22"/>
                <w:szCs w:val="22"/>
              </w:rPr>
              <w:t xml:space="preserve"> — no shared interpretive framework; organizational members construct incompatible accounts of the same reality.</w:t>
            </w:r>
          </w:p>
        </w:tc>
        <w:tc>
          <w:tcPr>
            <w:tcW w:type="pct" w:w="2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2"/>
                <w:szCs w:val="22"/>
              </w:rPr>
              <w:t xml:space="preserve">Poor diagnosis of strategic situations; coordinated action becomes impossible because there is no shared understanding of what action is responding to.</w:t>
            </w:r>
          </w:p>
        </w:tc>
      </w:tr>
      <w:tr>
        <w:trPr>
          <w:tblHeader w:val="false"/>
        </w:trPr>
        <w:tc>
          <w:tcPr>
            <w:tcW w:type="pct" w:w="11%"/>
            <w:tcMar>
              <w:top w:type="dxa" w:w="105"/>
              <w:left w:type="dxa" w:w="135"/>
              <w:bottom w:type="dxa" w:w="105"/>
              <w:right w:type="dxa" w:w="135"/>
            </w:tcMar>
          </w:tcPr>
          <w:p>
            <w:r>
              <w:rPr>
                <w:rFonts w:ascii="Calibri" w:cs="Calibri" w:eastAsia="Calibri" w:hAnsi="Calibri"/>
                <w:b/>
                <w:bCs/>
                <w:i w:val="false"/>
                <w:iCs w:val="false"/>
                <w:strike w:val="false"/>
                <w:color w:val="2B5797"/>
                <w:sz w:val="22"/>
                <w:szCs w:val="22"/>
              </w:rPr>
              <w:t xml:space="preserve">Integration Layer</w:t>
            </w:r>
          </w:p>
        </w:tc>
        <w:tc>
          <w:tcPr>
            <w:tcW w:type="pct" w:w="28%"/>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Silo calcification</w:t>
            </w:r>
            <w:r>
              <w:rPr>
                <w:rFonts w:ascii="Calibri" w:cs="Calibri" w:eastAsia="Calibri" w:hAnsi="Calibri"/>
                <w:b w:val="false"/>
                <w:bCs w:val="false"/>
                <w:i w:val="false"/>
                <w:iCs w:val="false"/>
                <w:strike w:val="false"/>
                <w:color w:val="000000"/>
                <w:sz w:val="22"/>
                <w:szCs w:val="22"/>
              </w:rPr>
              <w:t xml:space="preserve"> — functional domains that cannot share understanding; language and mental model differences create persistent interpretive barriers.</w:t>
            </w:r>
          </w:p>
        </w:tc>
        <w:tc>
          <w:tcPr>
            <w:tcW w:type="pct" w:w="3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Integration theater</w:t>
            </w:r>
            <w:r>
              <w:rPr>
                <w:rFonts w:ascii="Calibri" w:cs="Calibri" w:eastAsia="Calibri" w:hAnsi="Calibri"/>
                <w:b w:val="false"/>
                <w:bCs w:val="false"/>
                <w:i w:val="false"/>
                <w:iCs w:val="false"/>
                <w:strike w:val="false"/>
                <w:color w:val="000000"/>
                <w:sz w:val="22"/>
                <w:szCs w:val="22"/>
              </w:rPr>
              <w:t xml:space="preserve"> — surface-level synthesis that masks persistent fragmentation; reports that appear integrated but represent political compromise rather than genuine understanding.</w:t>
            </w:r>
          </w:p>
        </w:tc>
        <w:tc>
          <w:tcPr>
            <w:tcW w:type="pct" w:w="2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2"/>
                <w:szCs w:val="22"/>
              </w:rPr>
              <w:t xml:space="preserve">Organizational decisions reflect the perspective of whichever domain has the most political influence, rather than an integrated view; strategic blind spots proliferate.</w:t>
            </w:r>
          </w:p>
        </w:tc>
      </w:tr>
      <w:tr>
        <w:trPr>
          <w:tblHeader w:val="false"/>
        </w:trPr>
        <w:tc>
          <w:tcPr>
            <w:tcW w:type="pct" w:w="11%"/>
            <w:tcMar>
              <w:top w:type="dxa" w:w="105"/>
              <w:left w:type="dxa" w:w="135"/>
              <w:bottom w:type="dxa" w:w="105"/>
              <w:right w:type="dxa" w:w="135"/>
            </w:tcMar>
          </w:tcPr>
          <w:p>
            <w:r>
              <w:rPr>
                <w:rFonts w:ascii="Calibri" w:cs="Calibri" w:eastAsia="Calibri" w:hAnsi="Calibri"/>
                <w:b/>
                <w:bCs/>
                <w:i w:val="false"/>
                <w:iCs w:val="false"/>
                <w:strike w:val="false"/>
                <w:color w:val="2B5797"/>
                <w:sz w:val="22"/>
                <w:szCs w:val="22"/>
              </w:rPr>
              <w:t xml:space="preserve">Action Layer</w:t>
            </w:r>
          </w:p>
        </w:tc>
        <w:tc>
          <w:tcPr>
            <w:tcW w:type="pct" w:w="28%"/>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Decision latency</w:t>
            </w:r>
            <w:r>
              <w:rPr>
                <w:rFonts w:ascii="Calibri" w:cs="Calibri" w:eastAsia="Calibri" w:hAnsi="Calibri"/>
                <w:b w:val="false"/>
                <w:bCs w:val="false"/>
                <w:i w:val="false"/>
                <w:iCs w:val="false"/>
                <w:strike w:val="false"/>
                <w:color w:val="000000"/>
                <w:sz w:val="22"/>
                <w:szCs w:val="22"/>
              </w:rPr>
              <w:t xml:space="preserve"> — comprehension achieved too late for action to be effective; or commitment delayed until urgency forces a lower-quality response.</w:t>
            </w:r>
          </w:p>
        </w:tc>
        <w:tc>
          <w:tcPr>
            <w:tcW w:type="pct" w:w="32%"/>
            <w:tcMar>
              <w:top w:type="dxa" w:w="105"/>
              <w:left w:type="dxa" w:w="135"/>
              <w:bottom w:type="dxa" w:w="105"/>
              <w:right w:type="dxa" w:w="135"/>
            </w:tcMar>
          </w:tcPr>
          <w:p>
            <w:r>
              <w:rPr>
                <w:rFonts w:ascii="Calibri" w:cs="Calibri" w:eastAsia="Calibri" w:hAnsi="Calibri"/>
                <w:b/>
                <w:bCs/>
                <w:i w:val="false"/>
                <w:iCs w:val="false"/>
                <w:strike w:val="false"/>
                <w:color w:val="000000"/>
                <w:sz w:val="22"/>
                <w:szCs w:val="22"/>
              </w:rPr>
              <w:t xml:space="preserve">Commitment failure</w:t>
            </w:r>
            <w:r>
              <w:rPr>
                <w:rFonts w:ascii="Calibri" w:cs="Calibri" w:eastAsia="Calibri" w:hAnsi="Calibri"/>
                <w:b w:val="false"/>
                <w:bCs w:val="false"/>
                <w:i w:val="false"/>
                <w:iCs w:val="false"/>
                <w:strike w:val="false"/>
                <w:color w:val="000000"/>
                <w:sz w:val="22"/>
                <w:szCs w:val="22"/>
              </w:rPr>
              <w:t xml:space="preserve"> — decisions made but not translated into sustained action; or action without comprehension — organizational activity divorced from understanding.</w:t>
            </w:r>
          </w:p>
        </w:tc>
        <w:tc>
          <w:tcPr>
            <w:tcW w:type="pct" w:w="29%"/>
            <w:tcMar>
              <w:top w:type="dxa" w:w="105"/>
              <w:left w:type="dxa" w:w="135"/>
              <w:bottom w:type="dxa" w:w="105"/>
              <w:right w:type="dxa" w:w="135"/>
            </w:tcMar>
          </w:tcPr>
          <w:p>
            <w:r>
              <w:rPr>
                <w:rFonts w:ascii="Calibri" w:cs="Calibri" w:eastAsia="Calibri" w:hAnsi="Calibri"/>
                <w:b w:val="false"/>
                <w:bCs w:val="false"/>
                <w:i w:val="false"/>
                <w:iCs w:val="false"/>
                <w:strike w:val="false"/>
                <w:color w:val="000000"/>
                <w:sz w:val="22"/>
                <w:szCs w:val="22"/>
              </w:rPr>
              <w:t xml:space="preserve">Organizational momentum and competitive position eroded; confidence in decision processes deteriorates; cynicism about strategy accumulates.</w:t>
            </w:r>
          </w:p>
        </w:tc>
      </w:tr>
    </w:tbl>
    <w:p>
      <w:pP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It is worth emphasizing that Stack failure modes are rarely isolated. Filter capture at the Filtration Layer, for example, typically produces model reinforcement at the Interpretation Layer — because the signals that would challenge existing mental models are precisely those most likely to be filtered by political capture. Similarly, silo calcification at the Integration Layer creates feedback effects that deepen model fragmentation at the Interpretation Layer — as each silo develops its interpretive framework in increasing isolation from the others. Understanding the Stack means understanding these interdependencies, and recognizing that targeted interventions at a single layer will often have limited impact until the systemic dynamics between layers are addressed.</w:t>
      </w:r>
    </w:p>
    <w:p>
      <w:pPr>
        <w:pStyle w:val="Heading1"/>
        <w:spacing w:after="100" w:before="640" w:line="312" w:lineRule="auto"/>
      </w:pPr>
      <w:r>
        <w:rPr>
          <w:rFonts w:ascii="Calibri" w:cs="Calibri" w:eastAsia="Calibri" w:hAnsi="Calibri"/>
          <w:color w:val="1A1A1A"/>
          <w:sz w:val="40"/>
          <w:szCs w:val="40"/>
        </w:rPr>
        <w:t xml:space="preserve">3.3 — AI's Role in the Stack</w:t>
      </w:r>
    </w:p>
    <w:p>
      <w:pPr>
        <w:pBdr>
          <w:top w:val="single" w:color="C0C0C0" w:sz="6"/>
        </w:pBdr>
        <w:spacing w:after="200" w:before="0"/>
      </w:pP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 clear-eyed assessment of AI's role in the Comprehension Stack reveals both its genuine power and its precise limitations. These are not symmetric. AI is highly effective at some layers of the Stack and has very limited utility at others — and mistaking the former for the latter is one of the most consequential errors in contemporary enterprise AI deployment.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w:t>
      </w:r>
      <w:r>
        <w:rPr>
          <w:rFonts w:ascii="Calibri" w:cs="Calibri" w:eastAsia="Calibri" w:hAnsi="Calibri"/>
          <w:b/>
          <w:bCs/>
          <w:i w:val="false"/>
          <w:iCs w:val="false"/>
          <w:strike w:val="false"/>
          <w:color w:val="000000"/>
          <w:sz w:val="22"/>
          <w:szCs w:val="22"/>
        </w:rPr>
        <w:t xml:space="preserve">Signal Layer</w:t>
      </w:r>
      <w:r>
        <w:rPr>
          <w:rFonts w:ascii="Calibri" w:cs="Calibri" w:eastAsia="Calibri" w:hAnsi="Calibri"/>
          <w:b w:val="false"/>
          <w:bCs w:val="false"/>
          <w:i w:val="false"/>
          <w:iCs w:val="false"/>
          <w:strike w:val="false"/>
          <w:color w:val="000000"/>
          <w:sz w:val="22"/>
          <w:szCs w:val="22"/>
        </w:rPr>
        <w:t xml:space="preserve">, AI's contribution is transformative. Modern AI systems can monitor environmental signals at scales and speeds that are orders of magnitude beyond human capacity. Natural language processing can analyze vast quantities of unstructured text — news, regulatory filings, customer reviews, earnings calls, social media — in near real time. Anomaly detection systems can identify statistically unusual patterns in operational data that no human analyst would notice within a relevant time window. Computer vision can process visual data from manufacturing processes, retail environments, or logistical operations continuously and without fatigue. The Signal Layer is where AI adds the most unambiguous value, and organizations that do not leverage AI at this layer are operating with a significantly impoverished signal environment.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w:t>
      </w:r>
      <w:r>
        <w:rPr>
          <w:rFonts w:ascii="Calibri" w:cs="Calibri" w:eastAsia="Calibri" w:hAnsi="Calibri"/>
          <w:b/>
          <w:bCs/>
          <w:i w:val="false"/>
          <w:iCs w:val="false"/>
          <w:strike w:val="false"/>
          <w:color w:val="000000"/>
          <w:sz w:val="22"/>
          <w:szCs w:val="22"/>
        </w:rPr>
        <w:t xml:space="preserve">Filtration Layer</w:t>
      </w:r>
      <w:r>
        <w:rPr>
          <w:rFonts w:ascii="Calibri" w:cs="Calibri" w:eastAsia="Calibri" w:hAnsi="Calibri"/>
          <w:b w:val="false"/>
          <w:bCs w:val="false"/>
          <w:i w:val="false"/>
          <w:iCs w:val="false"/>
          <w:strike w:val="false"/>
          <w:color w:val="000000"/>
          <w:sz w:val="22"/>
          <w:szCs w:val="22"/>
        </w:rPr>
        <w:t xml:space="preserve">, AI's contribution is substantial but requires careful management. AI can apply sophisticated prioritization logic — learning, over time, which signals have been most predictive of outcomes that matter and routing attention accordingly. It can personalize filtration by decision-maker role, alert only when patterns exceed defined thresholds, and suppress categories of noise that have historically been uninformative. The risk is algorithmic filter capture: AI filtration systems trained on historical data encode the prioritization assumptions of the past, and may systematically suppress the novel signals that indicate structural change — precisely the signals that most need to reach human attention.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w:t>
      </w:r>
      <w:r>
        <w:rPr>
          <w:rFonts w:ascii="Calibri" w:cs="Calibri" w:eastAsia="Calibri" w:hAnsi="Calibri"/>
          <w:b/>
          <w:bCs/>
          <w:i w:val="false"/>
          <w:iCs w:val="false"/>
          <w:strike w:val="false"/>
          <w:color w:val="000000"/>
          <w:sz w:val="22"/>
          <w:szCs w:val="22"/>
        </w:rPr>
        <w:t xml:space="preserve">Interpretation Layer</w:t>
      </w:r>
      <w:r>
        <w:rPr>
          <w:rFonts w:ascii="Calibri" w:cs="Calibri" w:eastAsia="Calibri" w:hAnsi="Calibri"/>
          <w:b w:val="false"/>
          <w:bCs w:val="false"/>
          <w:i w:val="false"/>
          <w:iCs w:val="false"/>
          <w:strike w:val="false"/>
          <w:color w:val="000000"/>
          <w:sz w:val="22"/>
          <w:szCs w:val="22"/>
        </w:rPr>
        <w:t xml:space="preserve">, AI's contribution is real but more limited. Large language models can synthesize large volumes of textual information into structured summaries, identify thematic patterns across qualitative data, and generate multiple hypothetical interpretations of an ambiguous situation. These are genuine aids to human interpretation. But AI cannot construct or update the organizational mental models through which interpretation occurs — that is an inherently social and cultural process. And AI-generated interpretations, presented without appropriate epistemic context, can produce a premature closure of interpretive inquiry: the appearance of having understood something because an AI has described it, without the actual organizational understanding that would ground effective action.</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w:t>
      </w:r>
      <w:r>
        <w:rPr>
          <w:rFonts w:ascii="Calibri" w:cs="Calibri" w:eastAsia="Calibri" w:hAnsi="Calibri"/>
          <w:b/>
          <w:bCs/>
          <w:i w:val="false"/>
          <w:iCs w:val="false"/>
          <w:strike w:val="false"/>
          <w:color w:val="000000"/>
          <w:sz w:val="22"/>
          <w:szCs w:val="22"/>
        </w:rPr>
        <w:t xml:space="preserve">Integration Layer</w:t>
      </w:r>
      <w:r>
        <w:rPr>
          <w:rFonts w:ascii="Calibri" w:cs="Calibri" w:eastAsia="Calibri" w:hAnsi="Calibri"/>
          <w:b w:val="false"/>
          <w:bCs w:val="false"/>
          <w:i w:val="false"/>
          <w:iCs w:val="false"/>
          <w:strike w:val="false"/>
          <w:color w:val="000000"/>
          <w:sz w:val="22"/>
          <w:szCs w:val="22"/>
        </w:rPr>
        <w:t xml:space="preserve">, AI's utility drops sharply. Integration requires contextual judgment about which perspectives to weight, political will to challenge entrenched domain boundaries, organizational trust sufficient to make knowledge genuinely sharable, and human accountability for the integrated view that emerges. These are not computationally solvable problems. AI can support integration by providing neutral synthesis of diverse inputs and by making the outputs of different functional domains mutually legible — but it cannot perform the organizational work of integration. That work requires human agency, and no current AI system is a substitute for it.</w:t>
      </w:r>
    </w:p>
    <w:p>
      <w:pPr>
        <w:spacing w:after="240" w:before="60" w:line="384" w:lineRule="auto"/>
        <w:jc w:val="both"/>
      </w:pPr>
      <w:r>
        <w:rPr>
          <w:rFonts w:ascii="Calibri" w:cs="Calibri" w:eastAsia="Calibri" w:hAnsi="Calibri"/>
          <w:b w:val="false"/>
          <w:bCs w:val="false"/>
          <w:i w:val="false"/>
          <w:iCs w:val="false"/>
          <w:strike w:val="false"/>
          <w:color w:val="000000"/>
          <w:sz w:val="22"/>
          <w:szCs w:val="22"/>
        </w:rPr>
        <w:t xml:space="preserve">At the </w:t>
      </w:r>
      <w:r>
        <w:rPr>
          <w:rFonts w:ascii="Calibri" w:cs="Calibri" w:eastAsia="Calibri" w:hAnsi="Calibri"/>
          <w:b/>
          <w:bCs/>
          <w:i w:val="false"/>
          <w:iCs w:val="false"/>
          <w:strike w:val="false"/>
          <w:color w:val="000000"/>
          <w:sz w:val="22"/>
          <w:szCs w:val="22"/>
        </w:rPr>
        <w:t xml:space="preserve">Action Layer</w:t>
      </w:r>
      <w:r>
        <w:rPr>
          <w:rFonts w:ascii="Calibri" w:cs="Calibri" w:eastAsia="Calibri" w:hAnsi="Calibri"/>
          <w:b w:val="false"/>
          <w:bCs w:val="false"/>
          <w:i w:val="false"/>
          <w:iCs w:val="false"/>
          <w:strike w:val="false"/>
          <w:color w:val="000000"/>
          <w:sz w:val="22"/>
          <w:szCs w:val="22"/>
        </w:rPr>
        <w:t xml:space="preserve">, AI has the least to offer and the most potential to harm. The conversion of integrated understanding into committed action requires the exercise of judgment about values, priorities, and risk — judgments that must be owned by accountable human beings. AI recommendations at the Action Layer create the risk of diffusing accountability in ways that make organizational learning impossible: if decisions are attributed to algorithmic outputs rather than human judgment, the feedback loops through which organizations improve their decision-making are broken. AI can inform action through scenario modeling, impact analysis, and option generation. It cannot and should not replace the human act of commitment that constitutes a genuine organizational decision.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A3A6B" w:sz="6"/>
              <w:left w:val="single" w:color="1A3A6B" w:sz="6"/>
              <w:bottom w:val="single" w:color="1A3A6B" w:sz="6"/>
              <w:right w:val="single" w:color="1A3A6B" w:sz="6"/>
            </w:tcBorders>
            <w:shd w:fill="E8EEF7" w:color="auto" w:val="clear"/>
            <w:tcMar>
              <w:top w:type="dxa" w:w="240"/>
              <w:left w:type="dxa" w:w="300"/>
              <w:bottom w:type="dxa" w:w="240"/>
              <w:right w:type="dxa" w:w="300"/>
            </w:tcMar>
          </w:tcPr>
          <w:p>
            <w:pPr>
              <w:spacing w:after="120" w:line="408" w:lineRule="auto"/>
            </w:pPr>
            <w:r>
              <w:rPr>
                <w:b/>
                <w:bCs/>
                <w:i w:val="false"/>
                <w:iCs w:val="false"/>
                <w:color w:val="1A3A6B"/>
              </w:rPr>
              <w:t xml:space="preserve">Critical Asymmetry</w:t>
            </w:r>
          </w:p>
          <w:p>
            <w:pPr>
              <w:spacing w:after="0" w:line="384" w:lineRule="auto"/>
              <w:jc w:val="left"/>
            </w:pPr>
            <w:r>
              <w:rPr>
                <w:rFonts w:ascii="Calibri" w:cs="Calibri" w:eastAsia="Calibri" w:hAnsi="Calibri"/>
                <w:b w:val="false"/>
                <w:bCs w:val="false"/>
                <w:i/>
                <w:iCs/>
                <w:strike w:val="false"/>
                <w:color w:val="1A1A1A"/>
                <w:sz w:val="22"/>
                <w:szCs w:val="22"/>
              </w:rPr>
              <w:t xml:space="preserve">AI is strongest at the Stack's foundation (Signal, Filtration) and weakest at its apex (Integration, Action). Most organizational value — and most organizational failure — occurs at the apex. This asymmetry means that AI investment concentrated at the lower layers will produce diminishing organizational returns unless matched by proportional investment in the human and structural systems that govern the upper layers.</w:t>
            </w:r>
          </w:p>
        </w:tc>
      </w:tr>
    </w:tbl>
    <w:p>
      <w:pPr>
        <w:spacing w:after="240" w:before="0"/>
      </w:pPr>
    </w:p>
    <w:p>
      <w:pPr>
        <w:pBdr>
          <w:bottom w:val="single" w:color="C0C0C0" w:sz="6"/>
        </w:pBdr>
        <w:spacing w:after="240" w:before="240"/>
      </w:pPr>
    </w:p>
    <w:p>
      <w:pPr>
        <w:spacing w:after="240" w:line="384" w:lineRule="auto"/>
        <w:jc w:val="center"/>
      </w:pPr>
      <w:r>
        <w:rPr>
          <w:rFonts w:ascii="Calibri" w:cs="Calibri" w:eastAsia="Calibri" w:hAnsi="Calibri"/>
          <w:b w:val="false"/>
          <w:bCs w:val="false"/>
          <w:i w:val="false"/>
          <w:iCs w:val="false"/>
          <w:strike w:val="false"/>
          <w:color w:val="777777"/>
          <w:sz w:val="17"/>
          <w:szCs w:val="17"/>
        </w:rPr>
        <w:t xml:space="preserve">The Comprehension Constraint  |  Part 4 of 6  |  Peter Brauer  |  June 2026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3saW5yCUoFSfBQJh4EzMx</dc:title>
  <dc:creator>Un-named</dc:creator>
  <dc:description>Generated document</dc:description>
  <cp:lastModifiedBy>Un-named</cp:lastModifiedBy>
  <cp:revision>1</cp:revision>
  <dcterms:created xsi:type="dcterms:W3CDTF">2026-06-03T18:27:08.037Z</dcterms:created>
  <dcterms:modified xsi:type="dcterms:W3CDTF">2026-06-03T18:27:08.037Z</dcterms:modified>
</cp:coreProperties>
</file>

<file path=docProps/custom.xml><?xml version="1.0" encoding="utf-8"?>
<Properties xmlns="http://schemas.openxmlformats.org/officeDocument/2006/custom-properties" xmlns:vt="http://schemas.openxmlformats.org/officeDocument/2006/docPropsVTypes"/>
</file>