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line="384" w:lineRule="auto"/>
        <w:jc w:val="both"/>
      </w:pPr>
      <w:r>
        <w:rPr>
          <w:rFonts w:ascii="Calibri Light" w:cs="Calibri Light" w:eastAsia="Calibri Light" w:hAnsi="Calibri Light"/>
          <w:b w:val="false"/>
          <w:bCs w:val="false"/>
          <w:i w:val="false"/>
          <w:iCs w:val="false"/>
          <w:strike w:val="false"/>
          <w:color w:val="1A3A5C"/>
          <w:spacing w:val="50"/>
          <w:sz w:val="22"/>
          <w:szCs w:val="22"/>
        </w:rPr>
        <w:t xml:space="preserve">THE COMPREHENSION CONSTRAINT</w:t>
      </w:r>
    </w:p>
    <w:p>
      <w:pPr>
        <w:spacing w:after="360" w:before="60" w:line="384" w:lineRule="auto"/>
        <w:jc w:val="both"/>
      </w:pPr>
      <w:r>
        <w:rPr>
          <w:rFonts w:ascii="Calibri" w:cs="Calibri" w:eastAsia="Calibri" w:hAnsi="Calibri"/>
          <w:b w:val="false"/>
          <w:bCs w:val="false"/>
          <w:i/>
          <w:iCs/>
          <w:strike w:val="false"/>
          <w:color w:val="555555"/>
          <w:sz w:val="21"/>
          <w:szCs w:val="21"/>
        </w:rPr>
        <w:t xml:space="preserve">A Series on Organizational Cognition in the Age of AI</w:t>
      </w:r>
    </w:p>
    <w:p>
      <w:pPr>
        <w:pBdr>
          <w:bottom w:val="single" w:color="1A1A1A" w:sz="6"/>
        </w:pBdr>
        <w:spacing w:after="240" w:before="240"/>
      </w:pPr>
    </w:p>
    <w:p>
      <w:pPr>
        <w:spacing w:after="280" w:before="60" w:line="384" w:lineRule="auto"/>
        <w:jc w:val="both"/>
      </w:pPr>
      <w:r>
        <w:rPr>
          <w:rFonts w:ascii="Calibri Light" w:cs="Calibri Light" w:eastAsia="Calibri Light" w:hAnsi="Calibri Light"/>
          <w:b w:val="false"/>
          <w:bCs w:val="false"/>
          <w:i w:val="false"/>
          <w:iCs w:val="false"/>
          <w:strike w:val="false"/>
          <w:color w:val="888888"/>
          <w:spacing w:val="30"/>
          <w:sz w:val="20"/>
          <w:szCs w:val="20"/>
        </w:rPr>
        <w:t xml:space="preserve">PART 3 OF 6</w:t>
      </w:r>
    </w:p>
    <w:p>
      <w:pPr>
        <w:spacing w:after="560" w:before="60" w:line="288" w:lineRule="auto"/>
        <w:jc w:val="both"/>
      </w:pPr>
      <w:r>
        <w:rPr>
          <w:rFonts w:ascii="Calibri" w:cs="Calibri" w:eastAsia="Calibri" w:hAnsi="Calibri"/>
          <w:b/>
          <w:bCs/>
          <w:i w:val="false"/>
          <w:iCs w:val="false"/>
          <w:strike w:val="false"/>
          <w:color w:val="0D2B4E"/>
          <w:sz w:val="64"/>
          <w:szCs w:val="64"/>
        </w:rPr>
        <w:t xml:space="preserve">The Organizational</w:t>
      </w:r>
      <w:r>
        <w:rPr>
          <w:rFonts w:ascii="Calibri" w:cs="Calibri" w:eastAsia="Calibri" w:hAnsi="Calibri"/>
          <w:b/>
          <w:bCs/>
          <w:i w:val="false"/>
          <w:iCs w:val="false"/>
          <w:color w:val="0D2B4E"/>
          <w:sz w:val="64"/>
          <w:szCs w:val="64"/>
        </w:rPr>
        <w:br/>
      </w:r>
      <w:r>
        <w:rPr>
          <w:rFonts w:ascii="Calibri" w:cs="Calibri" w:eastAsia="Calibri" w:hAnsi="Calibri"/>
          <w:b/>
          <w:bCs/>
          <w:i w:val="false"/>
          <w:iCs w:val="false"/>
          <w:strike w:val="false"/>
          <w:color w:val="0D2B4E"/>
          <w:sz w:val="64"/>
          <w:szCs w:val="64"/>
        </w:rPr>
        <w:t xml:space="preserve">Cognition Law</w:t>
      </w:r>
    </w:p>
    <w:p>
      <w:pPr>
        <w:spacing w:after="60" w:before="60" w:line="384" w:lineRule="auto"/>
        <w:jc w:val="both"/>
      </w:pPr>
      <w:r>
        <w:rPr>
          <w:rFonts w:ascii="Calibri" w:cs="Calibri" w:eastAsia="Calibri" w:hAnsi="Calibri"/>
          <w:b/>
          <w:bCs/>
          <w:i w:val="false"/>
          <w:iCs w:val="false"/>
          <w:strike w:val="false"/>
          <w:color w:val="1A1A1A"/>
          <w:sz w:val="24"/>
          <w:szCs w:val="24"/>
        </w:rPr>
        <w:t xml:space="preserve">Peter Brauer</w:t>
      </w:r>
    </w:p>
    <w:p>
      <w:pPr>
        <w:spacing w:after="240" w:before="60" w:line="384" w:lineRule="auto"/>
        <w:jc w:val="both"/>
      </w:pPr>
      <w:r>
        <w:rPr>
          <w:rFonts w:ascii="Calibri Light" w:cs="Calibri Light" w:eastAsia="Calibri Light" w:hAnsi="Calibri Light"/>
          <w:b w:val="false"/>
          <w:bCs w:val="false"/>
          <w:i w:val="false"/>
          <w:iCs w:val="false"/>
          <w:strike w:val="false"/>
          <w:color w:val="777777"/>
          <w:sz w:val="21"/>
          <w:szCs w:val="21"/>
        </w:rPr>
        <w:t xml:space="preserve">June 2026</w:t>
      </w:r>
    </w:p>
    <w:p>
      <w:pPr>
        <w:pBdr>
          <w:bottom w:val="single" w:color="1A3A5C"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5C" w:sz="6"/>
              <w:left w:val="single" w:color="1A3A5C" w:sz="6"/>
              <w:bottom w:val="single" w:color="1A3A5C" w:sz="6"/>
              <w:right w:val="single" w:color="1A3A5C" w:sz="6"/>
            </w:tcBorders>
            <w:shd w:fill="F0F4F9" w:color="auto" w:val="clear"/>
            <w:tcMar>
              <w:top w:type="dxa" w:w="210"/>
              <w:left w:type="dxa" w:w="270"/>
              <w:bottom w:type="dxa" w:w="210"/>
              <w:right w:type="dxa" w:w="270"/>
            </w:tcMar>
          </w:tcPr>
          <w:p>
            <w:pPr>
              <w:spacing w:after="100" w:line="360" w:lineRule="auto"/>
              <w:jc w:val="left"/>
            </w:pPr>
            <w:r>
              <w:rPr>
                <w:rFonts w:ascii="Calibri" w:cs="Calibri" w:eastAsia="Calibri" w:hAnsi="Calibri"/>
                <w:b/>
                <w:bCs/>
                <w:i w:val="false"/>
                <w:iCs w:val="false"/>
                <w:strike w:val="false"/>
                <w:color w:val="2A2A2A"/>
                <w:spacing w:val="30"/>
                <w:sz w:val="20"/>
                <w:szCs w:val="20"/>
              </w:rPr>
              <w:t xml:space="preserve">About This Series</w:t>
            </w:r>
          </w:p>
          <w:p>
            <w:pPr>
              <w:spacing w:after="100" w:line="360" w:lineRule="auto"/>
              <w:jc w:val="left"/>
            </w:pPr>
            <w:r>
              <w:rPr>
                <w:rFonts w:ascii="Calibri" w:cs="Calibri" w:eastAsia="Calibri" w:hAnsi="Calibri"/>
                <w:b w:val="false"/>
                <w:bCs w:val="false"/>
                <w:i w:val="false"/>
                <w:iCs w:val="false"/>
                <w:strike w:val="false"/>
                <w:color w:val="2A2A2A"/>
                <w:sz w:val="20"/>
                <w:szCs w:val="20"/>
              </w:rPr>
              <w:t xml:space="preserve">This is Part 3 of 6 in </w:t>
            </w:r>
            <w:r>
              <w:rPr>
                <w:rFonts w:ascii="Calibri" w:cs="Calibri" w:eastAsia="Calibri" w:hAnsi="Calibri"/>
                <w:b/>
                <w:bCs/>
                <w:i w:val="false"/>
                <w:iCs w:val="false"/>
                <w:strike w:val="false"/>
                <w:color w:val="1A1A1A"/>
                <w:sz w:val="23"/>
                <w:szCs w:val="23"/>
              </w:rPr>
              <w:t xml:space="preserve">The Comprehension Constraint: A Series on Organizational Cognition in the Age of AI</w:t>
            </w:r>
            <w:r>
              <w:rPr>
                <w:rFonts w:ascii="Calibri" w:cs="Calibri" w:eastAsia="Calibri" w:hAnsi="Calibri"/>
                <w:b w:val="false"/>
                <w:bCs w:val="false"/>
                <w:i w:val="false"/>
                <w:iCs w:val="false"/>
                <w:strike w:val="false"/>
                <w:color w:val="2A2A2A"/>
                <w:sz w:val="20"/>
                <w:szCs w:val="20"/>
              </w:rPr>
              <w:t xml:space="preserve">. All six parts are published simultaneously.</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1 — Why Organizations Can't Think</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2 — The Comprehension Constraint</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3 — The Organizational Cognition Law</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4 — The Comprehension Stack</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5 — Making Sense Together</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6 — When Decisions Go Wrong — and What to Do About It</w:t>
            </w:r>
          </w:p>
        </w:tc>
      </w:tr>
    </w:tbl>
    <w:p>
      <w:pPr>
        <w:spacing w:after="240" w:before="0"/>
      </w:pPr>
    </w:p>
    <w:p>
      <w:pPr>
        <w:pBdr>
          <w:bottom w:val="single" w:color="1A1A1A" w:sz="6"/>
        </w:pBdr>
        <w:spacing w:after="240" w:before="240"/>
      </w:pPr>
    </w:p>
    <w:p>
      <w:pPr>
        <w:spacing w:after="60" w:before="60" w:line="384" w:lineRule="auto"/>
        <w:jc w:val="both"/>
      </w:pPr>
      <w:r>
        <w:rPr>
          <w:rFonts w:ascii="Calibri Light" w:cs="Calibri Light" w:eastAsia="Calibri Light" w:hAnsi="Calibri Light"/>
          <w:b w:val="false"/>
          <w:bCs w:val="false"/>
          <w:i w:val="false"/>
          <w:iCs w:val="false"/>
          <w:strike w:val="false"/>
          <w:color w:val="1A3A5C"/>
          <w:spacing w:val="40"/>
          <w:sz w:val="18"/>
          <w:szCs w:val="18"/>
        </w:rPr>
        <w:t xml:space="preserve">SECTION 2.1</w:t>
      </w:r>
    </w:p>
    <w:p>
      <w:pPr>
        <w:pStyle w:val="Heading1"/>
        <w:spacing w:after="240" w:before="560" w:line="300" w:lineRule="auto"/>
      </w:pPr>
      <w:r>
        <w:rPr>
          <w:rFonts w:ascii="Calibri" w:cs="Calibri" w:eastAsia="Calibri" w:hAnsi="Calibri"/>
          <w:color w:val="1A1A1A"/>
          <w:sz w:val="44"/>
          <w:szCs w:val="44"/>
        </w:rPr>
        <w:t xml:space="preserve">Statement of the Law</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B0C4DE" w:sz="24"/>
              <w:bottom w:val="nil" w:color="FFFFFF" w:sz="0"/>
              <w:right w:val="nil" w:color="FFFFFF" w:sz="0"/>
            </w:tcBorders>
            <w:shd w:fill="F7F9FC" w:color="auto" w:val="clear"/>
            <w:tcMar>
              <w:top w:type="dxa" w:w="330"/>
              <w:left w:type="dxa" w:w="450"/>
              <w:bottom w:type="dxa" w:w="330"/>
              <w:right w:type="dxa" w:w="450"/>
            </w:tcMar>
          </w:tcPr>
          <w:p>
            <w:pPr>
              <w:spacing w:after="200" w:line="372" w:lineRule="auto"/>
              <w:jc w:val="both"/>
            </w:pPr>
            <w:r>
              <w:rPr>
                <w:rFonts w:ascii="Cambria" w:cs="Cambria" w:eastAsia="Cambria" w:hAnsi="Cambria"/>
                <w:b w:val="false"/>
                <w:bCs w:val="false"/>
                <w:i/>
                <w:iCs/>
                <w:strike w:val="false"/>
                <w:color w:val="0D2B4E"/>
                <w:sz w:val="29"/>
                <w:szCs w:val="29"/>
              </w:rPr>
              <w:t xml:space="preserve">“Organizational intelligence is not a function of the information available,</w:t>
            </w:r>
            <w:r>
              <w:rPr>
                <w:rFonts w:ascii="Cambria" w:cs="Cambria" w:eastAsia="Cambria" w:hAnsi="Cambria"/>
                <w:b w:val="false"/>
                <w:bCs w:val="false"/>
                <w:i/>
                <w:iCs/>
                <w:color w:val="0D2B4E"/>
                <w:sz w:val="29"/>
                <w:szCs w:val="29"/>
              </w:rPr>
              <w:br/>
            </w:r>
            <w:r>
              <w:rPr>
                <w:rFonts w:ascii="Cambria" w:cs="Cambria" w:eastAsia="Cambria" w:hAnsi="Cambria"/>
                <w:b w:val="false"/>
                <w:bCs w:val="false"/>
                <w:i/>
                <w:iCs/>
                <w:strike w:val="false"/>
                <w:color w:val="0D2B4E"/>
                <w:sz w:val="29"/>
                <w:szCs w:val="29"/>
              </w:rPr>
              <w:t xml:space="preserve"> but of the comprehension capacity brought to bear on that information.”</w:t>
            </w:r>
          </w:p>
          <w:p>
            <w:pPr>
              <w:spacing w:after="160" w:line="384" w:lineRule="auto"/>
              <w:jc w:val="both"/>
            </w:pPr>
            <w:r>
              <w:rPr>
                <w:rFonts w:ascii="Calibri" w:cs="Calibri" w:eastAsia="Calibri" w:hAnsi="Calibri"/>
                <w:b/>
                <w:bCs/>
                <w:i w:val="false"/>
                <w:iCs w:val="false"/>
                <w:strike w:val="false"/>
                <w:color w:val="555555"/>
                <w:spacing w:val="20"/>
                <w:sz w:val="19"/>
                <w:szCs w:val="19"/>
              </w:rPr>
              <w:t xml:space="preserve">— The Organizational Cognition Law</w:t>
            </w:r>
          </w:p>
        </w:tc>
      </w:tr>
    </w:tbl>
    <w:p>
      <w:pPr>
        <w:spacing w:after="240" w:before="0"/>
      </w:pP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This statement, while deceptively simple, carries substantial consequences for how organizations should think about strategy, leadership, and technology investment. Stated as a formal conceptual law, it asserts a relationship analogous to those that describe constraints in physical systems: just as the output of a thermal system is bounded by thermodynamic efficiency rather than fuel supply alone, the intelligence output of an organizational system is bounded by comprehension capacity rather than information supply alone. Adding more fuel to an inefficient engine produces waste heat, not additional work. Adding more information to an organization with insufficient comprehension capacity produces noise, not additional intelligence.</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The law has immediate and non-trivial implications for three domains of organizational life. In the domain of strategy, the law suggests that strategic advantage in information-rich environments will be determined not by who possesses the most data, but by who can most effectively derive genuine understanding from data — and translate that understanding into action. The competition is not for information; it is for comprehension. Organizations that recognize this shift will invest accordingly in the cognitive infrastructure that makes comprehension possible: interpretive frameworks, shared language, structural integration mechanisms, and reflective practices.</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In the domain of leadership, the law reframes the primary cognitive obligation of senior leaders. The traditional conception of leadership intelligence emphasizes the quality of individual decisions made at the top of the organization. The Organizational Cognition Law points in a different direction: the most consequential cognitive work of leadership is not the decisions leaders make themselves, but the comprehension capacity they build throughout the organization. A leader who makes brilliant individual decisions within an organization of low comprehension capacity is building on sand. A leader who systematically develops the organization's ability to make meaning together — to understand its environment, to integrate diverse perspectives, to learn from action — is building something that compounds over time.</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In the domain of technology investment, the law supplies a clear evaluation criterion that the technology industry has rarely articulated and organizations have rarely applied: does this investment increase the organization's comprehension capacity, or does it merely increase the volume of information available? By this criterion, a great deal of enterprise technology investment fails the test. Data warehouses that are never queried, dashboards that generate reports no one reads, AI systems that produce outputs no one understands or trusts — these represent not investments in intelligence but investments in the illusion of intelligence. The law demands a different question of every technology acquisition: not “what information does this produce?” but “how does this expand our ability to understand and act?”</w:t>
      </w:r>
    </w:p>
    <w:p>
      <w:pPr>
        <w:pBdr>
          <w:bottom w:val="single" w:color="1A1A1A" w:sz="6"/>
        </w:pBdr>
        <w:spacing w:after="240" w:before="240"/>
      </w:pPr>
    </w:p>
    <w:p>
      <w:pPr>
        <w:spacing w:after="60" w:before="60" w:line="384" w:lineRule="auto"/>
        <w:jc w:val="both"/>
      </w:pPr>
      <w:r>
        <w:rPr>
          <w:rFonts w:ascii="Calibri Light" w:cs="Calibri Light" w:eastAsia="Calibri Light" w:hAnsi="Calibri Light"/>
          <w:b w:val="false"/>
          <w:bCs w:val="false"/>
          <w:i w:val="false"/>
          <w:iCs w:val="false"/>
          <w:strike w:val="false"/>
          <w:color w:val="1A3A5C"/>
          <w:spacing w:val="40"/>
          <w:sz w:val="18"/>
          <w:szCs w:val="18"/>
        </w:rPr>
        <w:t xml:space="preserve">SECTION 2.2</w:t>
      </w:r>
    </w:p>
    <w:p>
      <w:pPr>
        <w:pStyle w:val="Heading1"/>
        <w:spacing w:after="240" w:before="560" w:line="300" w:lineRule="auto"/>
      </w:pPr>
      <w:r>
        <w:rPr>
          <w:rFonts w:ascii="Calibri" w:cs="Calibri" w:eastAsia="Calibri" w:hAnsi="Calibri"/>
          <w:color w:val="1A1A1A"/>
          <w:sz w:val="44"/>
          <w:szCs w:val="44"/>
        </w:rPr>
        <w:t xml:space="preserve">Corollaries and Implications</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From the Organizational Cognition Law, three corollaries follow with logical force. Each articulates a specific domain in which the law’s implications are most consequential.</w:t>
      </w:r>
    </w:p>
    <w:p>
      <w:pPr>
        <w:spacing w:after="60" w:before="60" w:line="384" w:lineRule="auto"/>
        <w:jc w:val="both"/>
      </w:pPr>
      <w:r>
        <w:rPr>
          <w:rFonts w:ascii="Calibri" w:cs="Calibri" w:eastAsia="Calibri" w:hAnsi="Calibri"/>
          <w:b/>
          <w:bCs/>
          <w:i w:val="false"/>
          <w:iCs w:val="false"/>
          <w:strike w:val="false"/>
          <w:color w:val="1A3A5C"/>
          <w:spacing w:val="30"/>
          <w:sz w:val="18"/>
          <w:szCs w:val="18"/>
        </w:rPr>
        <w:t xml:space="preserve">COROLLARY 1</w:t>
      </w:r>
    </w:p>
    <w:p>
      <w:pPr>
        <w:pStyle w:val="Heading2"/>
        <w:spacing w:after="240" w:before="480" w:line="312" w:lineRule="auto"/>
      </w:pPr>
      <w:r>
        <w:rPr>
          <w:rFonts w:ascii="Calibri" w:cs="Calibri" w:eastAsia="Calibri" w:hAnsi="Calibri"/>
          <w:color w:val="0D2B4E"/>
          <w:sz w:val="27"/>
          <w:szCs w:val="27"/>
        </w:rPr>
        <w:t xml:space="preserve">The Comprehension Ceiling</w:t>
      </w:r>
    </w:p>
    <w:p>
      <w:pPr>
        <w:pBdr>
          <w:bottom w:val="single" w:color="1A3A5C" w:sz="6"/>
        </w:pBdr>
        <w:spacing w:after="240" w:before="240"/>
      </w:pP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Every organization has a ceiling on the complexity it can effectively navigate, determined by its comprehension capacity. This ceiling is not fixed — it can be raised through deliberate investment in cognitive infrastructure — but it is always present, and crossing it without expanding capacity produces predictable failure modes. The Comprehension Ceiling is the organizational equivalent of a structural load limit: the organization can perform effectively up to a certain level of environmental complexity, and beyond that level, performance degrades in characteristic ways.</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Organizations that exceed their Comprehension Ceiling without recognizing it typically exhibit a consistent pattern: they continue to operate with the decision-making structures, interpretive frameworks, and communication practices appropriate to a simpler environment while facing a more complex one. The result is a progressive disconnect between the organization’s self-understanding and its actual situation — a gap that typically closes only when a crisis forces a reckoning. The practical implication is that organizations operating in environments of increasing complexity — which, in the AI era, describes most — must treat the ongoing expansion of comprehension capacity as a strategic priority, not an organizational development afterthought.</w:t>
      </w:r>
    </w:p>
    <w:p>
      <w:pPr>
        <w:spacing w:after="60" w:before="60" w:line="384" w:lineRule="auto"/>
        <w:jc w:val="both"/>
      </w:pPr>
      <w:r>
        <w:rPr>
          <w:rFonts w:ascii="Calibri" w:cs="Calibri" w:eastAsia="Calibri" w:hAnsi="Calibri"/>
          <w:b/>
          <w:bCs/>
          <w:i w:val="false"/>
          <w:iCs w:val="false"/>
          <w:strike w:val="false"/>
          <w:color w:val="1A3A5C"/>
          <w:spacing w:val="30"/>
          <w:sz w:val="18"/>
          <w:szCs w:val="18"/>
        </w:rPr>
        <w:t xml:space="preserve">COROLLARY 2</w:t>
      </w:r>
    </w:p>
    <w:p>
      <w:pPr>
        <w:pStyle w:val="Heading2"/>
        <w:spacing w:after="240" w:before="480" w:line="312" w:lineRule="auto"/>
      </w:pPr>
      <w:r>
        <w:rPr>
          <w:rFonts w:ascii="Calibri" w:cs="Calibri" w:eastAsia="Calibri" w:hAnsi="Calibri"/>
          <w:color w:val="0D2B4E"/>
          <w:sz w:val="27"/>
          <w:szCs w:val="27"/>
        </w:rPr>
        <w:t xml:space="preserve">The AI Paradox</w:t>
      </w:r>
    </w:p>
    <w:p>
      <w:pPr>
        <w:pBdr>
          <w:bottom w:val="single" w:color="1A3A5C" w:sz="6"/>
        </w:pBdr>
        <w:spacing w:after="240" w:before="240"/>
      </w:pP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AI increases the volume and speed of information available to organizations. Without deliberate investment in comprehension capacity, AI deployment makes the Comprehension Constraint more binding, not less. This is the AI Paradox, and it represents the central risk of the current moment in enterprise AI adoption.</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The mechanism is straightforward. AI systems generate outputs — summaries, predictions, recommendations, analyses — at volumes and speeds that dramatically exceed what human teams can produce. If the organization’s interpretive infrastructure — its mental models, its shared language, its integration mechanisms, its decision structures — is not expanded in proportion, the effect of AI deployment is to flood an already strained comprehension system with more material than it can process. The result is not more intelligence, but more sophisticated noise: AI-generated content that accumulates in inboxes, dashboards, and reports without being genuinely understood or effectively acted upon.</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The AI Paradox does not argue against AI deployment. It argues for a specific approach to AI deployment: one that treats AI not as a substitute for comprehension capacity but as a tool that must be matched by proportional investment in the human and structural systems through which comprehension is achieved.</w:t>
      </w:r>
    </w:p>
    <w:p>
      <w:pPr>
        <w:spacing w:after="60" w:before="60" w:line="384" w:lineRule="auto"/>
        <w:jc w:val="both"/>
      </w:pPr>
      <w:r>
        <w:rPr>
          <w:rFonts w:ascii="Calibri" w:cs="Calibri" w:eastAsia="Calibri" w:hAnsi="Calibri"/>
          <w:b/>
          <w:bCs/>
          <w:i w:val="false"/>
          <w:iCs w:val="false"/>
          <w:strike w:val="false"/>
          <w:color w:val="1A3A5C"/>
          <w:spacing w:val="30"/>
          <w:sz w:val="18"/>
          <w:szCs w:val="18"/>
        </w:rPr>
        <w:t xml:space="preserve">COROLLARY 3</w:t>
      </w:r>
    </w:p>
    <w:p>
      <w:pPr>
        <w:pStyle w:val="Heading2"/>
        <w:spacing w:after="240" w:before="480" w:line="312" w:lineRule="auto"/>
      </w:pPr>
      <w:r>
        <w:rPr>
          <w:rFonts w:ascii="Calibri" w:cs="Calibri" w:eastAsia="Calibri" w:hAnsi="Calibri"/>
          <w:color w:val="0D2B4E"/>
          <w:sz w:val="27"/>
          <w:szCs w:val="27"/>
        </w:rPr>
        <w:t xml:space="preserve">The Leadership Multiplier</w:t>
      </w:r>
    </w:p>
    <w:p>
      <w:pPr>
        <w:pBdr>
          <w:bottom w:val="single" w:color="1A3A5C" w:sz="6"/>
        </w:pBdr>
        <w:spacing w:after="240" w:before="240"/>
      </w:pP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Leaders who invest in the sensemaking capacity of their people — through narrative, structure, process, and culture — multiply organizational intelligence in ways that technology alone cannot. The Leadership Multiplier is the corollary that most directly reframes the obligations of senior leadership. It asserts that the cognitive contribution of a leader is not primarily additive — not one more decision-maker in the chain — but multiplicative: a leader who develops the comprehension capacity of the organization amplifies the intelligence of every person and every process within it.</w:t>
      </w: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This multiplicative effect operates through several mechanisms: the establishment of shared interpretive frameworks that allow diverse organizational members to make sense of the same information in compatible ways; the cultivation of psychological safety that allows genuine interpretive challenge rather than performative consensus; the creation of structural practices — reflection rituals, cross-functional dialogue, pre-mortem analysis — that systematically develop collective comprehension; and the modeling of intellectual humility that signals to the organization that updating one’s understanding in response to new evidence is a sign of strength, not weakness. These investments do not produce immediate, measurable outputs. They compound slowly, building the organizational cognitive infrastructure that determines performance in conditions of genuine complexity.</w:t>
      </w:r>
    </w:p>
    <w:p>
      <w:pPr>
        <w:pBdr>
          <w:bottom w:val="single" w:color="AAAAAA" w:sz="6"/>
        </w:pBdr>
        <w:spacing w:after="240" w:before="240"/>
      </w:pPr>
    </w:p>
    <w:p>
      <w:pPr>
        <w:spacing w:after="240" w:before="60" w:line="384" w:lineRule="auto"/>
        <w:jc w:val="both"/>
      </w:pPr>
      <w:r>
        <w:rPr>
          <w:rFonts w:ascii="Calibri" w:cs="Calibri" w:eastAsia="Calibri" w:hAnsi="Calibri"/>
          <w:b w:val="false"/>
          <w:bCs w:val="false"/>
          <w:i w:val="false"/>
          <w:iCs w:val="false"/>
          <w:strike w:val="false"/>
          <w:color w:val="1A1A1A"/>
          <w:sz w:val="23"/>
          <w:szCs w:val="23"/>
        </w:rPr>
        <w:t xml:space="preserve">The Comprehension Constraint  |  Part 3 of 6  |  Peter Brauer  |  June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KJ21kQN26wKNjwMmnxn2K</dc:title>
  <dc:creator>Un-named</dc:creator>
  <dc:description>Generated document</dc:description>
  <cp:lastModifiedBy>Un-named</cp:lastModifiedBy>
  <cp:revision>1</cp:revision>
  <dcterms:created xsi:type="dcterms:W3CDTF">2026-06-03T18:26:50.191Z</dcterms:created>
  <dcterms:modified xsi:type="dcterms:W3CDTF">2026-06-03T18:26:50.191Z</dcterms:modified>
</cp:coreProperties>
</file>

<file path=docProps/custom.xml><?xml version="1.0" encoding="utf-8"?>
<Properties xmlns="http://schemas.openxmlformats.org/officeDocument/2006/custom-properties" xmlns:vt="http://schemas.openxmlformats.org/officeDocument/2006/docPropsVTypes"/>
</file>