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384" w:lineRule="auto"/>
        <w:jc w:val="center"/>
      </w:pPr>
      <w:r>
        <w:rPr>
          <w:rFonts w:ascii="Calibri Light" w:cs="Calibri Light" w:eastAsia="Calibri Light" w:hAnsi="Calibri Light"/>
          <w:b w:val="false"/>
          <w:bCs w:val="false"/>
          <w:i w:val="false"/>
          <w:iCs w:val="false"/>
          <w:strike w:val="false"/>
          <w:color w:val="2B5797"/>
          <w:spacing w:val="40"/>
          <w:sz w:val="24"/>
          <w:szCs w:val="24"/>
        </w:rPr>
        <w:t xml:space="preserve">THE COMPREHENSION CONSTRAINT</w:t>
      </w:r>
    </w:p>
    <w:p>
      <w:pPr>
        <w:spacing w:after="640" w:line="384" w:lineRule="auto"/>
        <w:jc w:val="center"/>
      </w:pPr>
      <w:r>
        <w:rPr>
          <w:rFonts w:ascii="Calibri" w:cs="Calibri" w:eastAsia="Calibri" w:hAnsi="Calibri"/>
          <w:b w:val="false"/>
          <w:bCs w:val="false"/>
          <w:i/>
          <w:iCs/>
          <w:strike w:val="false"/>
          <w:color w:val="555555"/>
          <w:sz w:val="20"/>
          <w:szCs w:val="20"/>
        </w:rPr>
        <w:t xml:space="preserve">A Series on Organizational Cognition in the Age of AI</w:t>
      </w:r>
    </w:p>
    <w:p>
      <w:pPr>
        <w:spacing w:after="280" w:line="384" w:lineRule="auto"/>
        <w:jc w:val="center"/>
      </w:pPr>
      <w:r>
        <w:rPr>
          <w:rFonts w:ascii="Calibri Light" w:cs="Calibri Light" w:eastAsia="Calibri Light" w:hAnsi="Calibri Light"/>
          <w:b w:val="false"/>
          <w:bCs w:val="false"/>
          <w:i w:val="false"/>
          <w:iCs w:val="false"/>
          <w:strike w:val="false"/>
          <w:color w:val="888888"/>
          <w:spacing w:val="20"/>
          <w:sz w:val="22"/>
          <w:szCs w:val="22"/>
        </w:rPr>
        <w:t xml:space="preserve">PART 2 OF 6</w:t>
      </w:r>
    </w:p>
    <w:p>
      <w:pPr>
        <w:spacing w:after="560" w:line="288" w:lineRule="auto"/>
        <w:jc w:val="center"/>
      </w:pPr>
      <w:r>
        <w:rPr>
          <w:rFonts w:ascii="Calibri" w:cs="Calibri" w:eastAsia="Calibri" w:hAnsi="Calibri"/>
          <w:b/>
          <w:bCs/>
          <w:i w:val="false"/>
          <w:iCs w:val="false"/>
          <w:strike w:val="false"/>
          <w:color w:val="1A1A1A"/>
          <w:sz w:val="60"/>
          <w:szCs w:val="60"/>
        </w:rPr>
        <w:t xml:space="preserve">The Comprehension Constraint</w:t>
      </w:r>
    </w:p>
    <w:p>
      <w:pPr>
        <w:pBdr>
          <w:bottom w:val="single" w:color="1A1A1A" w:sz="6"/>
        </w:pBdr>
        <w:spacing w:after="240" w:before="240"/>
      </w:pPr>
    </w:p>
    <w:p>
      <w:pPr>
        <w:spacing w:after="80" w:line="384" w:lineRule="auto"/>
        <w:jc w:val="center"/>
      </w:pPr>
      <w:r>
        <w:rPr>
          <w:rFonts w:ascii="Calibri" w:cs="Calibri" w:eastAsia="Calibri" w:hAnsi="Calibri"/>
          <w:b/>
          <w:bCs/>
          <w:i w:val="false"/>
          <w:iCs w:val="false"/>
          <w:strike w:val="false"/>
          <w:color w:val="1A1A1A"/>
          <w:sz w:val="24"/>
          <w:szCs w:val="24"/>
        </w:rPr>
        <w:t xml:space="preserve">Peter Brauer</w:t>
      </w:r>
    </w:p>
    <w:p>
      <w:pPr>
        <w:spacing w:after="240" w:line="384" w:lineRule="auto"/>
        <w:jc w:val="center"/>
      </w:pPr>
      <w:r>
        <w:rPr>
          <w:rFonts w:ascii="Calibri" w:cs="Calibri" w:eastAsia="Calibri" w:hAnsi="Calibri"/>
          <w:b w:val="false"/>
          <w:bCs w:val="false"/>
          <w:i w:val="false"/>
          <w:iCs w:val="false"/>
          <w:strike w:val="false"/>
          <w:color w:val="777777"/>
          <w:sz w:val="20"/>
          <w:szCs w:val="20"/>
        </w:rPr>
        <w:t xml:space="preserve">June 2026</w:t>
      </w:r>
    </w:p>
    <w:p>
      <w:pPr>
        <w:pBdr>
          <w:bottom w:val="single" w:color="2B5797"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EF2F9" w:color="auto" w:val="clear"/>
            <w:tcMar>
              <w:top w:type="dxa" w:w="210"/>
              <w:left w:type="dxa" w:w="270"/>
              <w:bottom w:type="dxa" w:w="210"/>
              <w:right w:type="dxa" w:w="270"/>
            </w:tcMar>
          </w:tcPr>
          <w:p>
            <w:pPr>
              <w:spacing w:after="120" w:line="408" w:lineRule="auto"/>
            </w:pPr>
            <w:r>
              <w:rPr>
                <w:b/>
                <w:bCs/>
                <w:i w:val="false"/>
                <w:iCs w:val="false"/>
                <w:color w:val="2B5797"/>
              </w:rPr>
              <w:t xml:space="preserve">About This Series</w:t>
            </w:r>
          </w:p>
          <w:p>
            <w:pPr>
              <w:spacing w:after="180" w:line="384" w:lineRule="auto"/>
            </w:pPr>
            <w:r>
              <w:rPr>
                <w:rFonts w:ascii="Calibri" w:cs="Calibri" w:eastAsia="Calibri" w:hAnsi="Calibri"/>
                <w:b w:val="false"/>
                <w:bCs w:val="false"/>
                <w:i w:val="false"/>
                <w:iCs w:val="false"/>
                <w:strike w:val="false"/>
                <w:color w:val="2A2A2A"/>
                <w:sz w:val="20"/>
                <w:szCs w:val="20"/>
              </w:rPr>
              <w:t xml:space="preserve">This is Part 2 of 6 in </w:t>
            </w:r>
            <w:r>
              <w:rPr>
                <w:rFonts w:ascii="Calibri" w:cs="Calibri" w:eastAsia="Calibri" w:hAnsi="Calibri"/>
                <w:b w:val="false"/>
                <w:bCs w:val="false"/>
                <w:i/>
                <w:iCs/>
                <w:strike w:val="false"/>
                <w:color w:val="1A1A1A"/>
                <w:sz w:val="22"/>
                <w:szCs w:val="22"/>
              </w:rPr>
              <w:t xml:space="preserve">The Comprehension Constraint: A Series on Organizational Cognition in the Age of AI</w:t>
            </w:r>
            <w:r>
              <w:rPr>
                <w:rFonts w:ascii="Calibri" w:cs="Calibri" w:eastAsia="Calibri" w:hAnsi="Calibri"/>
                <w:b w:val="false"/>
                <w:bCs w:val="false"/>
                <w:i w:val="false"/>
                <w:iCs w:val="false"/>
                <w:strike w:val="false"/>
                <w:color w:val="2A2A2A"/>
                <w:sz w:val="20"/>
                <w:szCs w:val="20"/>
              </w:rPr>
              <w:t xml:space="preserve">. All six parts are published simultaneously.</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1 — Why Organizations Can't Think</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2 — The Comprehension Constraint</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3 — The Organizational Cognition Law</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4 — The Comprehension Stack</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5 — Making Sense Together</w:t>
            </w:r>
          </w:p>
          <w:p>
            <w:pPr>
              <w:spacing w:after="100" w:line="408" w:lineRule="auto"/>
              <w:ind w:left="240"/>
            </w:pPr>
            <w:r>
              <w:t xml:space="preserve">•  </w:t>
            </w:r>
            <w:r>
              <w:rPr>
                <w:rFonts w:ascii="Calibri" w:cs="Calibri" w:eastAsia="Calibri" w:hAnsi="Calibri"/>
                <w:b w:val="false"/>
                <w:bCs w:val="false"/>
                <w:i w:val="false"/>
                <w:iCs w:val="false"/>
                <w:strike w:val="false"/>
                <w:color w:val="2A2A2A"/>
                <w:sz w:val="20"/>
                <w:szCs w:val="20"/>
              </w:rPr>
              <w:t xml:space="preserve">Part 6 — When Decisions Go Wrong — and What to Do About It</w:t>
            </w:r>
          </w:p>
        </w:tc>
      </w:tr>
    </w:tbl>
    <w:p>
      <w:pPr>
        <w:spacing w:after="240" w:before="0"/>
      </w:pPr>
    </w:p>
    <w:p>
      <w:pPr>
        <w:pStyle w:val="Heading1"/>
        <w:spacing w:after="100" w:before="560" w:line="312" w:lineRule="auto"/>
      </w:pPr>
      <w:r>
        <w:rPr>
          <w:rFonts w:ascii="Calibri" w:cs="Calibri" w:eastAsia="Calibri" w:hAnsi="Calibri"/>
          <w:color w:val="1A1A1A"/>
          <w:sz w:val="36"/>
          <w:szCs w:val="36"/>
        </w:rPr>
        <w:t xml:space="preserve">1.1 — What Is the Comprehension Constraint?</w:t>
      </w:r>
    </w:p>
    <w:p>
      <w:pPr>
        <w:pBdr>
          <w:top w:val="single" w:color="D0D8E8" w:sz="6"/>
        </w:pBdr>
        <w:spacing w:after="200" w:before="0"/>
      </w:pP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The Comprehension Constraint is the fundamental upper bound on what an organization can understand, interpret, and act on at any given moment. It is not a fixed quantity — it varies across organizations, across time, and across domains of activity — but it is always finite, always binding at some level of complexity, and always the decisive limit on organizational intelligence. To understand it precisely, it is important to distinguish it from the concept it most resembles but does not equal: information overload.</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Information overload is a volume problem. It describes the condition in which the quantity of available information exceeds the processing capacity of an individual or system. It is solved, in principle, by filtering, summarizing, or otherwise reducing the volume of inputs. The Comprehension Constraint is a different kind of problem: it is a processing and meaning-making problem. An organization subject to the Comprehension Constraint may have already filtered and summarized its information. It may have a dashboard. It may have a briefing. And still, it may fail to understand what the information means, what it implies for action, or how it connects to what the organization already knows. The problem is not too much data. The problem is insufficient capacity to convert data into understanding.</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The conceptual roots of the Comprehension Constraint run through several traditions. Herbert Simon's concept of bounded rationality established the foundational insight: cognitive agents — whether individual or organizational — cannot optimize across all available information because their computational capacity is finite. They satisfice rather than optimize, constructing simplified models of reality and acting within them. This insight, developed in the 1950s and extended through subsequent decades, remains the essential starting point for any serious theory of organizational cognition.</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Karl Weick's work on organizational sensemaking extends Simon's insight into the social and cultural domain. For Weick, organizations do not simply process information — they construct the meaning of information through ongoing, collective interpretive activity. The world as an organization experiences it is not a fixed, objective reality that information systems reveal. It is a product of the sensemaking processes through which organizational members notice, bracket, label, and explain what is happening. This constructive dimension of cognition is critical: two organizations facing the same objective situation may "see" it in fundamentally different ways, and those differences in perception will generate fundamentally different responses.</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Systems thinking contributes a third dimension: the recognition that the Comprehension Constraint operates at multiple levels simultaneously. At the individual level, it reflects the cognitive limits of each person in the organization — their working memory, their attention bandwidth, their tolerance for ambiguity, and the particular mental models through which they interpret experience. At the team level, it reflects the dynamics of collective sense-making: the degree to which teams can integrate diverse perspectives, manage interpretive conflict, and construct a shared understanding that exceeds what any individual could produce alone. At the organizational level, it reflects the structures, cultures, processes, and technologies that either amplify or inhibit the organization's collective comprehension capacity. These three levels interact continuously, and the constraint at any one level can negate gains at the others.</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Together, these traditions converge on a common insight: organizations are not limited in their intelligence primarily by the information they access. They are limited by the cognitive infrastructure they bring to that information — the mental models, interpretive frameworks, collective practices, and structural arrangements that determine how much of the available information can be converted into genuine organizational understanding.</w:t>
      </w:r>
    </w:p>
    <w:p>
      <w:pPr>
        <w:pBdr>
          <w:bottom w:val="single" w:color="1A1A1A" w:sz="6"/>
        </w:pBdr>
        <w:spacing w:after="240" w:before="240"/>
      </w:pPr>
    </w:p>
    <w:p>
      <w:pPr>
        <w:pStyle w:val="Heading1"/>
        <w:spacing w:after="100" w:before="560" w:line="312" w:lineRule="auto"/>
      </w:pPr>
      <w:r>
        <w:rPr>
          <w:rFonts w:ascii="Calibri" w:cs="Calibri" w:eastAsia="Calibri" w:hAnsi="Calibri"/>
          <w:color w:val="1A1A1A"/>
          <w:sz w:val="36"/>
          <w:szCs w:val="36"/>
        </w:rPr>
        <w:t xml:space="preserve">1.2 — How the Constraint Manifests</w:t>
      </w:r>
    </w:p>
    <w:p>
      <w:pPr>
        <w:pBdr>
          <w:top w:val="single" w:color="D0D8E8" w:sz="6"/>
        </w:pBdr>
        <w:spacing w:after="200" w:before="0"/>
      </w:pP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The Comprehension Constraint is not an abstract theoretical condition. It produces recognizable, observable symptoms in organizational life. When the constraint is binding — when the complexity of an organization's environment exceeds its capacity to make sense of it — predictable failure modes emerge. These are not failures of effort, intelligence, or intention. They are failures of comprehension capacity, and they recur with remarkable consistency across industries, scales, and organizational types.</w:t>
      </w:r>
    </w:p>
    <w:p>
      <w:pPr>
        <w:spacing w:after="240" w:before="60" w:line="384" w:lineRule="auto"/>
      </w:pPr>
      <w:r>
        <w:rPr>
          <w:rFonts w:ascii="Calibri" w:cs="Calibri" w:eastAsia="Calibri" w:hAnsi="Calibri"/>
          <w:b/>
          <w:bCs/>
          <w:i w:val="false"/>
          <w:iCs w:val="false"/>
          <w:strike w:val="false"/>
          <w:color w:val="1A1A1A"/>
          <w:sz w:val="22"/>
          <w:szCs w:val="22"/>
        </w:rPr>
        <w:t xml:space="preserve">Analysis paralysis</w:t>
      </w:r>
      <w:r>
        <w:rPr>
          <w:rFonts w:ascii="Calibri" w:cs="Calibri" w:eastAsia="Calibri" w:hAnsi="Calibri"/>
          <w:b w:val="false"/>
          <w:bCs w:val="false"/>
          <w:i w:val="false"/>
          <w:iCs w:val="false"/>
          <w:strike w:val="false"/>
          <w:color w:val="1A1A1A"/>
          <w:sz w:val="22"/>
          <w:szCs w:val="22"/>
        </w:rPr>
        <w:t xml:space="preserve"> is among the most common. When an organization cannot integrate competing interpretations of a complex situation into a coherent enough understanding to act, it often responds by accumulating more analysis rather than committing to action. The motion is sideways — more data, more consultants, more scenarios — while the environment continues to evolve. The problem is not that the organization lacks commitment; it is that comprehension has not reached the threshold required for confident decision. Additional information, in this state, often compounds the confusion rather than resolving it.</w:t>
      </w:r>
    </w:p>
    <w:p>
      <w:pPr>
        <w:spacing w:after="240" w:before="60" w:line="384" w:lineRule="auto"/>
      </w:pPr>
      <w:r>
        <w:rPr>
          <w:rFonts w:ascii="Calibri" w:cs="Calibri" w:eastAsia="Calibri" w:hAnsi="Calibri"/>
          <w:b/>
          <w:bCs/>
          <w:i w:val="false"/>
          <w:iCs w:val="false"/>
          <w:strike w:val="false"/>
          <w:color w:val="1A1A1A"/>
          <w:sz w:val="22"/>
          <w:szCs w:val="22"/>
        </w:rPr>
        <w:t xml:space="preserve">Decision latency</w:t>
      </w:r>
      <w:r>
        <w:rPr>
          <w:rFonts w:ascii="Calibri" w:cs="Calibri" w:eastAsia="Calibri" w:hAnsi="Calibri"/>
          <w:b w:val="false"/>
          <w:bCs w:val="false"/>
          <w:i w:val="false"/>
          <w:iCs w:val="false"/>
          <w:strike w:val="false"/>
          <w:color w:val="1A1A1A"/>
          <w:sz w:val="22"/>
          <w:szCs w:val="22"/>
        </w:rPr>
        <w:t xml:space="preserve"> is closely related. Organizations frequently possess, in aggregate, the knowledge required to make a decision — but that knowledge is distributed across people, departments, and levels in ways that prevent its timely integration. By the time the relevant understanding has been assembled and a decision has been reached, the moment has often passed. A global manufacturing firm, for example, may have analysts in three regional offices each noting early signals of a developing supply chain disruption — rising freight costs in one region, a key supplier's deteriorating financial position in another, port congestion metrics in a third. Each signal, in isolation, is insufficient to trigger an executive response. The Comprehension Constraint prevents their integration into a coherent threat picture until the disruption is no longer early and no longer preventable.</w:t>
      </w:r>
    </w:p>
    <w:p>
      <w:pPr>
        <w:spacing w:after="240" w:before="60" w:line="384" w:lineRule="auto"/>
      </w:pPr>
      <w:r>
        <w:rPr>
          <w:rFonts w:ascii="Calibri" w:cs="Calibri" w:eastAsia="Calibri" w:hAnsi="Calibri"/>
          <w:b/>
          <w:bCs/>
          <w:i w:val="false"/>
          <w:iCs w:val="false"/>
          <w:strike w:val="false"/>
          <w:color w:val="1A1A1A"/>
          <w:sz w:val="22"/>
          <w:szCs w:val="22"/>
        </w:rPr>
        <w:t xml:space="preserve">Siloed knowledge</w:t>
      </w:r>
      <w:r>
        <w:rPr>
          <w:rFonts w:ascii="Calibri" w:cs="Calibri" w:eastAsia="Calibri" w:hAnsi="Calibri"/>
          <w:b w:val="false"/>
          <w:bCs w:val="false"/>
          <w:i w:val="false"/>
          <w:iCs w:val="false"/>
          <w:strike w:val="false"/>
          <w:color w:val="1A1A1A"/>
          <w:sz w:val="22"/>
          <w:szCs w:val="22"/>
        </w:rPr>
        <w:t xml:space="preserve"> is the structural expression of the same problem. In organizations of any meaningful scale, knowledge is inevitably distributed. The supply chain team knows things the strategy team does not. The clinical staff in a hospital system know things that the data analytics group cannot see. The customer research team in a technology company develops nuanced insights about user experience that the product organization translates — imperfectly, belatedly, or not at all — into product decisions. These silos are not failures of communication alone; they are failures of interpretive integration. Different parts of the organization develop different languages, different mental models, and different frameworks for understanding the same reality. The Comprehension Constraint, at the integration layer, means that these parallel understandings remain parallel rather than converging into a unified organizational view.</w:t>
      </w:r>
    </w:p>
    <w:p>
      <w:pPr>
        <w:spacing w:after="240" w:before="60" w:line="384" w:lineRule="auto"/>
      </w:pPr>
      <w:r>
        <w:rPr>
          <w:rFonts w:ascii="Calibri" w:cs="Calibri" w:eastAsia="Calibri" w:hAnsi="Calibri"/>
          <w:b/>
          <w:bCs/>
          <w:i w:val="false"/>
          <w:iCs w:val="false"/>
          <w:strike w:val="false"/>
          <w:color w:val="1A1A1A"/>
          <w:sz w:val="22"/>
          <w:szCs w:val="22"/>
        </w:rPr>
        <w:t xml:space="preserve">Narrative collapse</w:t>
      </w:r>
      <w:r>
        <w:rPr>
          <w:rFonts w:ascii="Calibri" w:cs="Calibri" w:eastAsia="Calibri" w:hAnsi="Calibri"/>
          <w:b w:val="false"/>
          <w:bCs w:val="false"/>
          <w:i w:val="false"/>
          <w:iCs w:val="false"/>
          <w:strike w:val="false"/>
          <w:color w:val="1A1A1A"/>
          <w:sz w:val="22"/>
          <w:szCs w:val="22"/>
        </w:rPr>
        <w:t xml:space="preserve"> represents perhaps the most dangerous manifestation. Organizations depend on shared narratives — collective stories about who they are, what is happening in their environment, and what their strategy means in practice — to coordinate action at scale. When the Comprehension Constraint prevents an organization from maintaining a coherent shared narrative about its situation, coordination breaks down. Different units pursue different implicit strategies. Leaders send signals that are interpreted differently at different levels of the organization. The organization's activity fragments into locally rational but collectively incoherent behavior. Narrative collapse does not announce itself loudly; it accumulates quietly, and is typically recognized only in retrospect, when its consequences have become expensive.</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Finally, the </w:t>
      </w:r>
      <w:r>
        <w:rPr>
          <w:rFonts w:ascii="Calibri" w:cs="Calibri" w:eastAsia="Calibri" w:hAnsi="Calibri"/>
          <w:b/>
          <w:bCs/>
          <w:i w:val="false"/>
          <w:iCs w:val="false"/>
          <w:strike w:val="false"/>
          <w:color w:val="1A1A1A"/>
          <w:sz w:val="22"/>
          <w:szCs w:val="22"/>
        </w:rPr>
        <w:t xml:space="preserve">"data rich, insight poor" paradox</w:t>
      </w:r>
      <w:r>
        <w:rPr>
          <w:rFonts w:ascii="Calibri" w:cs="Calibri" w:eastAsia="Calibri" w:hAnsi="Calibri"/>
          <w:b w:val="false"/>
          <w:bCs w:val="false"/>
          <w:i w:val="false"/>
          <w:iCs w:val="false"/>
          <w:strike w:val="false"/>
          <w:color w:val="1A1A1A"/>
          <w:sz w:val="22"/>
          <w:szCs w:val="22"/>
        </w:rPr>
        <w:t xml:space="preserve"> has become the defining organizational condition of the early AI era. Organizations invest heavily in data infrastructure, analytics capabilities, and intelligence tools — and find, to their frustration, that the volume of information generated does not translate proportionally into the quality of decisions made. The paradox resolves once the Comprehension Constraint is properly understood: information and comprehension are not the same thing, and increasing the former does not automatically increase the latter. In the absence of investment in comprehension capacity, more data produces not more intelligence but more noise — a broader and louder signal environment that the organization's unchanged interpretive infrastructure is even less equipped to navigate.</w:t>
      </w:r>
    </w:p>
    <w:p>
      <w:pPr>
        <w:pBdr>
          <w:bottom w:val="single" w:color="1A1A1A" w:sz="6"/>
        </w:pBdr>
        <w:spacing w:after="240" w:before="240"/>
      </w:pPr>
    </w:p>
    <w:p>
      <w:pPr>
        <w:pStyle w:val="Heading1"/>
        <w:spacing w:after="100" w:before="560" w:line="312" w:lineRule="auto"/>
      </w:pPr>
      <w:r>
        <w:rPr>
          <w:rFonts w:ascii="Calibri" w:cs="Calibri" w:eastAsia="Calibri" w:hAnsi="Calibri"/>
          <w:color w:val="1A1A1A"/>
          <w:sz w:val="36"/>
          <w:szCs w:val="36"/>
        </w:rPr>
        <w:t xml:space="preserve">1.3 — The Progression of Ideas: From Information to Action</w:t>
      </w:r>
    </w:p>
    <w:p>
      <w:pPr>
        <w:pBdr>
          <w:top w:val="single" w:color="D0D8E8" w:sz="6"/>
        </w:pBdr>
        <w:spacing w:after="200" w:before="0"/>
      </w:pP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To understand precisely where the Comprehension Constraint bites, it is useful to map the full cognitive journey from raw environmental input to organizational action. This progression is not a simple pipeline; it is a layered, iterative, and socially mediated process in which each transition introduces both the possibility of insight and the risk of failure. The seven stages are as follows:</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1.Data — Raw signals from the environment: sensor readings, transaction records, market prices, customer interactions, employee feedback, competitive intelligence, regulatory filings. Data is uninterpreted fact. It carries no inherent meaning and generates no organizational response on its own.</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2.Information — Data contextualized and structured. When data is organized into formats that allow comparison, trend identification, and relationship mapping, it becomes information. A database becomes a dashboard; a stream of transactions becomes a sales trend. This transformation is primarily technical, and it is the layer at which modern data infrastructure operates most effectively.</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3.Knowledge — Information interpreted through experience and mental models. Knowledge is the product of applying human judgment and organizational expertise to information. It carries the fingerprints of the interpreter: the same market information may generate different knowledge in the hands of different analysts, because their interpretive frameworks differ. Knowledge is tacit, contextual, and dependent on the cognitive and cultural infrastructure of the organization.</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4.Insight — Knowledge that reveals something non-obvious and actionable. Insights are the rare and valuable outputs of effective comprehension: they are the moments when accumulated knowledge crosses a threshold and produces a genuinely new understanding of a situation — one that changes what the organization should do. Insight is not a routine product of analysis; it requires the integration of knowledge across domains, the willingness to challenge existing mental models, and the cognitive conditions that allow novel connections to form.</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5.Decision — Insight translated into commitment and resource allocation. A decision is not merely a judgment; it is a commitment that distributes organizational resources — time, attention, capital, personnel — in a particular direction. It closes alternatives and opens consequences. The quality of a decision depends not only on the quality of the insight that precedes it, but on the organizational conditions — accountability, clarity, authority — under which it is made.</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6.Action — Decision executed and embedded in organizational behavior. Action is where decisions meet reality. It is also where a great deal of organizational value is destroyed: decisions that were sound in concept are frequently diluted, distorted, or abandoned in execution, as the realities of implementation encounter the limits of organizational capacity and comprehension.</w:t>
      </w:r>
    </w:p>
    <w:p>
      <w:pPr>
        <w:pStyle w:val="ListParagraph"/>
        <w:numPr>
          <w:ilvl w:val="0"/>
          <w:numId w:val="2"/>
        </w:numPr>
        <w:spacing w:after="60" w:line="408" w:lineRule="auto"/>
        <w:ind w:left="720" w:hanging="360"/>
      </w:pPr>
      <w:r>
        <w:rPr>
          <w:rFonts w:ascii="Calibri" w:cs="Calibri" w:eastAsia="Calibri" w:hAnsi="Calibri"/>
          <w:b w:val="false"/>
          <w:bCs w:val="false"/>
          <w:i w:val="false"/>
          <w:iCs w:val="false"/>
          <w:strike w:val="false"/>
          <w:color w:val="1A1A1A"/>
          <w:sz w:val="22"/>
          <w:szCs w:val="22"/>
        </w:rPr>
        <w:t xml:space="preserve">7.Learning — Action reflected upon and incorporated into future cognition. Learning closes the loop. An organization that cannot learn from its actions — that does not translate the feedback generated by its decisions back into updated knowledge and improved comprehension capacity — is condemned to repeat its failures. Learning requires both the structural space for reflection and the psychological safety for honest assessment, both of which are frequently absent.</w:t>
      </w: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The Comprehension Constraint creates friction at every transition in this progression. </w:t>
      </w:r>
      <w:r>
        <w:rPr>
          <w:rFonts w:ascii="Calibri" w:cs="Calibri" w:eastAsia="Calibri" w:hAnsi="Calibri"/>
          <w:b/>
          <w:bCs/>
          <w:i w:val="false"/>
          <w:iCs w:val="false"/>
          <w:strike w:val="false"/>
          <w:color w:val="1A1A1A"/>
          <w:sz w:val="22"/>
          <w:szCs w:val="22"/>
        </w:rPr>
        <w:t xml:space="preserve">Data → Information</w:t>
      </w:r>
      <w:r>
        <w:rPr>
          <w:rFonts w:ascii="Calibri" w:cs="Calibri" w:eastAsia="Calibri" w:hAnsi="Calibri"/>
          <w:b w:val="false"/>
          <w:bCs w:val="false"/>
          <w:i w:val="false"/>
          <w:iCs w:val="false"/>
          <w:strike w:val="false"/>
          <w:color w:val="1A1A1A"/>
          <w:sz w:val="22"/>
          <w:szCs w:val="22"/>
        </w:rPr>
        <w:t xml:space="preserve"> friction is primarily technical and has been substantially reduced by modern analytics infrastructure. </w:t>
      </w:r>
      <w:r>
        <w:rPr>
          <w:rFonts w:ascii="Calibri" w:cs="Calibri" w:eastAsia="Calibri" w:hAnsi="Calibri"/>
          <w:b/>
          <w:bCs/>
          <w:i w:val="false"/>
          <w:iCs w:val="false"/>
          <w:strike w:val="false"/>
          <w:color w:val="1A1A1A"/>
          <w:sz w:val="22"/>
          <w:szCs w:val="22"/>
        </w:rPr>
        <w:t xml:space="preserve">Information → Knowledge</w:t>
      </w:r>
      <w:r>
        <w:rPr>
          <w:rFonts w:ascii="Calibri" w:cs="Calibri" w:eastAsia="Calibri" w:hAnsi="Calibri"/>
          <w:b w:val="false"/>
          <w:bCs w:val="false"/>
          <w:i w:val="false"/>
          <w:iCs w:val="false"/>
          <w:strike w:val="false"/>
          <w:color w:val="1A1A1A"/>
          <w:sz w:val="22"/>
          <w:szCs w:val="22"/>
        </w:rPr>
        <w:t xml:space="preserve"> friction reflects the interpretive limits of the organization and its people. </w:t>
      </w:r>
      <w:r>
        <w:rPr>
          <w:rFonts w:ascii="Calibri" w:cs="Calibri" w:eastAsia="Calibri" w:hAnsi="Calibri"/>
          <w:b/>
          <w:bCs/>
          <w:i w:val="false"/>
          <w:iCs w:val="false"/>
          <w:strike w:val="false"/>
          <w:color w:val="1A1A1A"/>
          <w:sz w:val="22"/>
          <w:szCs w:val="22"/>
        </w:rPr>
        <w:t xml:space="preserve">Knowledge → Insight</w:t>
      </w:r>
      <w:r>
        <w:rPr>
          <w:rFonts w:ascii="Calibri" w:cs="Calibri" w:eastAsia="Calibri" w:hAnsi="Calibri"/>
          <w:b w:val="false"/>
          <w:bCs w:val="false"/>
          <w:i w:val="false"/>
          <w:iCs w:val="false"/>
          <w:strike w:val="false"/>
          <w:color w:val="1A1A1A"/>
          <w:sz w:val="22"/>
          <w:szCs w:val="22"/>
        </w:rPr>
        <w:t xml:space="preserve"> friction is perhaps the deepest: it is where mental model rigidity, cognitive diversity deficits, and cultural restrictions on challenging existing narratives do their most expensive work. </w:t>
      </w:r>
      <w:r>
        <w:rPr>
          <w:rFonts w:ascii="Calibri" w:cs="Calibri" w:eastAsia="Calibri" w:hAnsi="Calibri"/>
          <w:b/>
          <w:bCs/>
          <w:i w:val="false"/>
          <w:iCs w:val="false"/>
          <w:strike w:val="false"/>
          <w:color w:val="1A1A1A"/>
          <w:sz w:val="22"/>
          <w:szCs w:val="22"/>
        </w:rPr>
        <w:t xml:space="preserve">Insight → Decision</w:t>
      </w:r>
      <w:r>
        <w:rPr>
          <w:rFonts w:ascii="Calibri" w:cs="Calibri" w:eastAsia="Calibri" w:hAnsi="Calibri"/>
          <w:b w:val="false"/>
          <w:bCs w:val="false"/>
          <w:i w:val="false"/>
          <w:iCs w:val="false"/>
          <w:strike w:val="false"/>
          <w:color w:val="1A1A1A"/>
          <w:sz w:val="22"/>
          <w:szCs w:val="22"/>
        </w:rPr>
        <w:t xml:space="preserve"> friction reflects the political and structural conditions that govern how organizations convert understanding into commitment. </w:t>
      </w:r>
      <w:r>
        <w:rPr>
          <w:rFonts w:ascii="Calibri" w:cs="Calibri" w:eastAsia="Calibri" w:hAnsi="Calibri"/>
          <w:b/>
          <w:bCs/>
          <w:i w:val="false"/>
          <w:iCs w:val="false"/>
          <w:strike w:val="false"/>
          <w:color w:val="1A1A1A"/>
          <w:sz w:val="22"/>
          <w:szCs w:val="22"/>
        </w:rPr>
        <w:t xml:space="preserve">Decision → Action</w:t>
      </w:r>
      <w:r>
        <w:rPr>
          <w:rFonts w:ascii="Calibri" w:cs="Calibri" w:eastAsia="Calibri" w:hAnsi="Calibri"/>
          <w:b w:val="false"/>
          <w:bCs w:val="false"/>
          <w:i w:val="false"/>
          <w:iCs w:val="false"/>
          <w:strike w:val="false"/>
          <w:color w:val="1A1A1A"/>
          <w:sz w:val="22"/>
          <w:szCs w:val="22"/>
        </w:rPr>
        <w:t xml:space="preserve"> friction reflects execution gaps. </w:t>
      </w:r>
      <w:r>
        <w:rPr>
          <w:rFonts w:ascii="Calibri" w:cs="Calibri" w:eastAsia="Calibri" w:hAnsi="Calibri"/>
          <w:b/>
          <w:bCs/>
          <w:i w:val="false"/>
          <w:iCs w:val="false"/>
          <w:strike w:val="false"/>
          <w:color w:val="1A1A1A"/>
          <w:sz w:val="22"/>
          <w:szCs w:val="22"/>
        </w:rPr>
        <w:t xml:space="preserve">Action → Learning</w:t>
      </w:r>
      <w:r>
        <w:rPr>
          <w:rFonts w:ascii="Calibri" w:cs="Calibri" w:eastAsia="Calibri" w:hAnsi="Calibri"/>
          <w:b w:val="false"/>
          <w:bCs w:val="false"/>
          <w:i w:val="false"/>
          <w:iCs w:val="false"/>
          <w:strike w:val="false"/>
          <w:color w:val="1A1A1A"/>
          <w:sz w:val="22"/>
          <w:szCs w:val="22"/>
        </w:rPr>
        <w:t xml:space="preserve"> friction reflects the organizational and cultural barriers to honest reflection.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B8A000" w:sz="6"/>
              <w:left w:val="single" w:color="B8A000" w:sz="6"/>
              <w:bottom w:val="single" w:color="B8A000" w:sz="6"/>
              <w:right w:val="single" w:color="B8A000" w:sz="6"/>
            </w:tcBorders>
            <w:shd w:fill="FDFAEC" w:color="auto" w:val="clear"/>
            <w:tcMar>
              <w:top w:type="dxa" w:w="210"/>
              <w:left w:type="dxa" w:w="270"/>
              <w:bottom w:type="dxa" w:w="210"/>
              <w:right w:type="dxa" w:w="270"/>
            </w:tcMar>
          </w:tcPr>
          <w:p>
            <w:pPr>
              <w:spacing w:after="120" w:line="408" w:lineRule="auto"/>
            </w:pPr>
            <w:r>
              <w:rPr>
                <w:b/>
                <w:bCs/>
                <w:i w:val="false"/>
                <w:iCs w:val="false"/>
                <w:color w:val="7A6800"/>
              </w:rPr>
              <w:t xml:space="preserve">Key Principle</w:t>
            </w:r>
          </w:p>
          <w:p>
            <w:pPr>
              <w:spacing w:after="180" w:line="384" w:lineRule="auto"/>
            </w:pPr>
            <w:r>
              <w:rPr>
                <w:rFonts w:ascii="Calibri" w:cs="Calibri" w:eastAsia="Calibri" w:hAnsi="Calibri"/>
                <w:b w:val="false"/>
                <w:bCs w:val="false"/>
                <w:i/>
                <w:iCs/>
                <w:strike w:val="false"/>
                <w:color w:val="2A2A2A"/>
                <w:sz w:val="22"/>
                <w:szCs w:val="22"/>
              </w:rPr>
              <w:t xml:space="preserve">AI has meaningfully reduced friction at the lower layers of this progression — particularly Data → Information and Information → Knowledge. The upper layers — Insight → Decision → Action → Learning — remain deeply human. These are the layers where leadership creates or destroys organizational value, and where the most consequential investments in organizational cognition must be made.</w:t>
            </w:r>
          </w:p>
        </w:tc>
      </w:tr>
    </w:tbl>
    <w:p>
      <w:pPr>
        <w:spacing w:after="240" w:before="0"/>
      </w:pPr>
    </w:p>
    <w:p>
      <w:pPr>
        <w:spacing w:after="240" w:before="60" w:line="384" w:lineRule="auto"/>
      </w:pPr>
      <w:r>
        <w:rPr>
          <w:rFonts w:ascii="Calibri" w:cs="Calibri" w:eastAsia="Calibri" w:hAnsi="Calibri"/>
          <w:b w:val="false"/>
          <w:bCs w:val="false"/>
          <w:i w:val="false"/>
          <w:iCs w:val="false"/>
          <w:strike w:val="false"/>
          <w:color w:val="1A1A1A"/>
          <w:sz w:val="22"/>
          <w:szCs w:val="22"/>
        </w:rPr>
        <w:t xml:space="preserve">It is important to note that these frictions compound. An organization that loses significant signal at the Information → Knowledge transition will produce impoverished insights regardless of the quality of its subsequent deliberation. An organization that cannot convert insights into decisions — because of political dynamics or unclear authority — will fail to act even when it understands what action is required. The journey from data to learning is only as strong as its weakest transition. This compounding dynamic is why organizations so frequently find that targeted investments in one layer of the progression produce disappointing overall results: the bottleneck has simply moved.</w:t>
      </w:r>
    </w:p>
    <w:p>
      <w:pPr>
        <w:pBdr>
          <w:bottom w:val="single" w:color="2B5797" w:sz="6"/>
        </w:pBdr>
        <w:spacing w:after="240" w:before="240"/>
      </w:pPr>
    </w:p>
    <w:p>
      <w:pPr>
        <w:spacing w:after="240" w:line="384" w:lineRule="auto"/>
        <w:jc w:val="center"/>
      </w:pPr>
      <w:r>
        <w:rPr>
          <w:rFonts w:ascii="Calibri" w:cs="Calibri" w:eastAsia="Calibri" w:hAnsi="Calibri"/>
          <w:b w:val="false"/>
          <w:bCs w:val="false"/>
          <w:i w:val="false"/>
          <w:iCs w:val="false"/>
          <w:strike w:val="false"/>
          <w:color w:val="777777"/>
          <w:sz w:val="17"/>
          <w:szCs w:val="17"/>
        </w:rPr>
        <w:t xml:space="preserve">The Comprehension Constraint  |  Part 2 of 6  |  Peter Brauer  |  June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baFjiypXt1dPnf37V923d</dc:title>
  <dc:creator>Un-named</dc:creator>
  <dc:description>Generated document</dc:description>
  <cp:lastModifiedBy>Un-named</cp:lastModifiedBy>
  <cp:revision>1</cp:revision>
  <dcterms:created xsi:type="dcterms:W3CDTF">2026-06-03T18:25:49.835Z</dcterms:created>
  <dcterms:modified xsi:type="dcterms:W3CDTF">2026-06-03T18:25:49.836Z</dcterms:modified>
</cp:coreProperties>
</file>

<file path=docProps/custom.xml><?xml version="1.0" encoding="utf-8"?>
<Properties xmlns="http://schemas.openxmlformats.org/officeDocument/2006/custom-properties" xmlns:vt="http://schemas.openxmlformats.org/officeDocument/2006/docPropsVTypes"/>
</file>